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w:t>
      </w:r>
      <w:r w:rsidR="00FB06D4">
        <w:rPr>
          <w:rFonts w:eastAsia="MS Mincho" w:cs="Arial"/>
          <w:bCs/>
          <w:sz w:val="24"/>
          <w:szCs w:val="24"/>
          <w:lang w:eastAsia="ja-JP"/>
        </w:rPr>
        <w:t>4</w:t>
      </w:r>
      <w:r w:rsidR="00A232BC">
        <w:rPr>
          <w:rFonts w:eastAsia="MS Mincho" w:cs="Arial"/>
          <w:bCs/>
          <w:sz w:val="24"/>
          <w:szCs w:val="24"/>
          <w:lang w:eastAsia="ja-JP"/>
        </w:rPr>
        <w:t>bis</w:t>
      </w:r>
      <w:r w:rsidRPr="00744368">
        <w:rPr>
          <w:rFonts w:eastAsia="MS Mincho" w:cs="Arial"/>
          <w:bCs/>
          <w:sz w:val="24"/>
          <w:szCs w:val="24"/>
          <w:lang w:eastAsia="ja-JP"/>
        </w:rPr>
        <w:tab/>
      </w:r>
      <w:r w:rsidRPr="00744368">
        <w:rPr>
          <w:rFonts w:eastAsia="MS Mincho" w:cs="Arial"/>
          <w:bCs/>
          <w:sz w:val="24"/>
          <w:szCs w:val="24"/>
          <w:lang w:eastAsia="ja-JP"/>
        </w:rPr>
        <w:tab/>
      </w:r>
      <w:r w:rsidR="001E25A7" w:rsidRPr="001E25A7">
        <w:rPr>
          <w:rFonts w:cs="Arial"/>
          <w:bCs/>
          <w:sz w:val="24"/>
          <w:szCs w:val="24"/>
        </w:rPr>
        <w:t>R1-162828</w:t>
      </w:r>
    </w:p>
    <w:p w:rsidR="003B44BB" w:rsidRPr="00226CA3" w:rsidRDefault="00A232BC" w:rsidP="003B44BB">
      <w:pPr>
        <w:pStyle w:val="Header"/>
        <w:rPr>
          <w:rFonts w:eastAsia="MS Mincho" w:cs="Arial"/>
          <w:bCs/>
          <w:sz w:val="24"/>
          <w:szCs w:val="24"/>
          <w:lang w:val="en-US" w:eastAsia="ja-JP"/>
        </w:rPr>
      </w:pPr>
      <w:r>
        <w:rPr>
          <w:rFonts w:eastAsia="MS Mincho" w:cs="Arial"/>
          <w:bCs/>
          <w:sz w:val="24"/>
          <w:szCs w:val="24"/>
          <w:lang w:val="en-US" w:eastAsia="ja-JP"/>
        </w:rPr>
        <w:t>Busan</w:t>
      </w:r>
      <w:r w:rsidR="003B44BB" w:rsidRPr="00226CA3">
        <w:rPr>
          <w:rFonts w:eastAsia="MS Mincho" w:cs="Arial"/>
          <w:bCs/>
          <w:sz w:val="24"/>
          <w:szCs w:val="24"/>
          <w:lang w:val="en-US" w:eastAsia="ja-JP"/>
        </w:rPr>
        <w:t>, 1</w:t>
      </w:r>
      <w:r>
        <w:rPr>
          <w:rFonts w:eastAsia="MS Mincho" w:cs="Arial"/>
          <w:bCs/>
          <w:sz w:val="24"/>
          <w:szCs w:val="24"/>
          <w:lang w:val="en-US" w:eastAsia="ja-JP"/>
        </w:rPr>
        <w:t>1</w:t>
      </w:r>
      <w:r w:rsidR="003B44BB" w:rsidRPr="00226CA3">
        <w:rPr>
          <w:rFonts w:eastAsia="MS Mincho" w:cs="Arial"/>
          <w:bCs/>
          <w:sz w:val="24"/>
          <w:szCs w:val="24"/>
          <w:vertAlign w:val="superscript"/>
          <w:lang w:val="en-US" w:eastAsia="ja-JP"/>
        </w:rPr>
        <w:t>th</w:t>
      </w:r>
      <w:r w:rsidR="003B44BB" w:rsidRPr="00226CA3">
        <w:rPr>
          <w:rFonts w:eastAsia="MS Mincho" w:cs="Arial"/>
          <w:bCs/>
          <w:sz w:val="24"/>
          <w:szCs w:val="24"/>
          <w:lang w:val="en-US" w:eastAsia="ja-JP"/>
        </w:rPr>
        <w:t xml:space="preserve"> - </w:t>
      </w:r>
      <w:r w:rsidR="00226CA3" w:rsidRPr="00226CA3">
        <w:rPr>
          <w:rFonts w:eastAsia="MS Mincho" w:cs="Arial"/>
          <w:bCs/>
          <w:sz w:val="24"/>
          <w:szCs w:val="24"/>
          <w:lang w:val="en-US" w:eastAsia="ja-JP"/>
        </w:rPr>
        <w:t>1</w:t>
      </w:r>
      <w:r>
        <w:rPr>
          <w:rFonts w:eastAsia="MS Mincho" w:cs="Arial"/>
          <w:bCs/>
          <w:sz w:val="24"/>
          <w:szCs w:val="24"/>
          <w:lang w:val="en-US" w:eastAsia="ja-JP"/>
        </w:rPr>
        <w:t>5</w:t>
      </w:r>
      <w:r w:rsidR="00226CA3" w:rsidRPr="00226CA3">
        <w:rPr>
          <w:rFonts w:eastAsia="MS Mincho" w:cs="Arial"/>
          <w:bCs/>
          <w:sz w:val="24"/>
          <w:szCs w:val="24"/>
          <w:vertAlign w:val="superscript"/>
          <w:lang w:val="en-US" w:eastAsia="ja-JP"/>
        </w:rPr>
        <w:t>th</w:t>
      </w:r>
      <w:r w:rsidR="00226CA3" w:rsidRPr="00226CA3">
        <w:rPr>
          <w:rFonts w:eastAsia="MS Mincho" w:cs="Arial"/>
          <w:bCs/>
          <w:sz w:val="24"/>
          <w:szCs w:val="24"/>
          <w:lang w:val="en-US" w:eastAsia="ja-JP"/>
        </w:rPr>
        <w:t xml:space="preserve"> </w:t>
      </w:r>
      <w:r>
        <w:rPr>
          <w:rFonts w:eastAsia="MS Mincho" w:cs="Arial"/>
          <w:bCs/>
          <w:sz w:val="24"/>
          <w:szCs w:val="24"/>
          <w:lang w:val="en-US" w:eastAsia="ja-JP"/>
        </w:rPr>
        <w:t>April</w:t>
      </w:r>
      <w:r w:rsidR="003B44BB" w:rsidRPr="00226CA3">
        <w:rPr>
          <w:rFonts w:eastAsia="MS Mincho" w:cs="Arial"/>
          <w:bCs/>
          <w:sz w:val="24"/>
          <w:szCs w:val="24"/>
          <w:lang w:val="en-US" w:eastAsia="ja-JP"/>
        </w:rPr>
        <w:t xml:space="preserve"> 201</w:t>
      </w:r>
      <w:r w:rsidR="00FB06D4" w:rsidRPr="00226CA3">
        <w:rPr>
          <w:rFonts w:eastAsia="MS Mincho" w:cs="Arial"/>
          <w:bCs/>
          <w:sz w:val="24"/>
          <w:szCs w:val="24"/>
          <w:lang w:val="en-US" w:eastAsia="ja-JP"/>
        </w:rPr>
        <w:t>6</w:t>
      </w:r>
    </w:p>
    <w:p w:rsidR="00005DBD" w:rsidRPr="00226CA3" w:rsidRDefault="00005DBD" w:rsidP="00005DBD">
      <w:pPr>
        <w:pStyle w:val="FootnoteText"/>
        <w:rPr>
          <w:lang w:val="en-US"/>
        </w:rPr>
      </w:pPr>
    </w:p>
    <w:p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1E25A7" w:rsidRPr="00654255">
        <w:rPr>
          <w:sz w:val="22"/>
          <w:szCs w:val="22"/>
          <w:lang w:val="en-US"/>
        </w:rPr>
        <w:t>Contents of Downlink Control Information for V2V over PC5</w:t>
      </w:r>
    </w:p>
    <w:p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226CA3" w:rsidRPr="001E25A7">
        <w:rPr>
          <w:sz w:val="22"/>
          <w:szCs w:val="22"/>
          <w:lang w:val="en-US"/>
        </w:rPr>
        <w:t>7.3.2.2.</w:t>
      </w:r>
      <w:r w:rsidR="001E25A7">
        <w:rPr>
          <w:sz w:val="22"/>
          <w:szCs w:val="22"/>
          <w:lang w:val="en-US"/>
        </w:rPr>
        <w:t>2</w:t>
      </w:r>
    </w:p>
    <w:p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rsidR="00D77223" w:rsidRDefault="00D77223" w:rsidP="008A63F4">
      <w:pPr>
        <w:pStyle w:val="Heading1"/>
      </w:pPr>
      <w:r w:rsidRPr="007F1723">
        <w:t>Introduction</w:t>
      </w:r>
    </w:p>
    <w:p w:rsidR="00335A3F" w:rsidRDefault="00DE4F23" w:rsidP="005360AD">
      <w:pPr>
        <w:pStyle w:val="BodyText"/>
        <w:spacing w:after="240"/>
        <w:jc w:val="both"/>
        <w:rPr>
          <w:sz w:val="22"/>
          <w:szCs w:val="22"/>
        </w:rPr>
      </w:pPr>
      <w:r>
        <w:rPr>
          <w:sz w:val="22"/>
          <w:szCs w:val="22"/>
        </w:rPr>
        <w:t xml:space="preserve">In </w:t>
      </w:r>
      <w:r w:rsidR="00335A3F">
        <w:rPr>
          <w:sz w:val="22"/>
          <w:szCs w:val="22"/>
        </w:rPr>
        <w:t xml:space="preserve">RAN1 #84 </w:t>
      </w:r>
      <w:r>
        <w:rPr>
          <w:sz w:val="22"/>
          <w:szCs w:val="22"/>
        </w:rPr>
        <w:t>it was agreed that:</w:t>
      </w:r>
    </w:p>
    <w:p w:rsidR="00DE4F23" w:rsidRPr="000A33FB" w:rsidRDefault="00DE4F23" w:rsidP="00DE4F23">
      <w:pPr>
        <w:rPr>
          <w:rFonts w:eastAsia="MS Mincho"/>
          <w:b/>
          <w:i/>
          <w:sz w:val="22"/>
          <w:szCs w:val="22"/>
          <w:u w:val="single"/>
          <w:lang w:eastAsia="ja-JP"/>
        </w:rPr>
      </w:pPr>
      <w:r w:rsidRPr="000A33FB">
        <w:rPr>
          <w:rFonts w:eastAsia="MS Mincho" w:hint="eastAsia"/>
          <w:b/>
          <w:i/>
          <w:sz w:val="22"/>
          <w:szCs w:val="22"/>
          <w:highlight w:val="green"/>
          <w:u w:val="single"/>
          <w:lang w:eastAsia="ja-JP"/>
        </w:rPr>
        <w:t>Agreements:</w:t>
      </w:r>
    </w:p>
    <w:p w:rsidR="00DE4F23" w:rsidRPr="000A33FB" w:rsidRDefault="00DE4F23" w:rsidP="00E57705">
      <w:pPr>
        <w:numPr>
          <w:ilvl w:val="0"/>
          <w:numId w:val="7"/>
        </w:numPr>
        <w:tabs>
          <w:tab w:val="clear" w:pos="720"/>
          <w:tab w:val="num" w:pos="920"/>
        </w:tabs>
        <w:spacing w:after="0"/>
        <w:rPr>
          <w:rFonts w:eastAsia="MS Mincho"/>
          <w:i/>
          <w:sz w:val="22"/>
          <w:szCs w:val="22"/>
          <w:lang w:val="en-US" w:eastAsia="ja-JP"/>
        </w:rPr>
      </w:pPr>
      <w:r w:rsidRPr="000A33FB">
        <w:rPr>
          <w:rFonts w:eastAsia="MS Mincho" w:hint="eastAsia"/>
          <w:i/>
          <w:sz w:val="22"/>
          <w:szCs w:val="22"/>
          <w:lang w:val="en-US" w:eastAsia="ja-JP"/>
        </w:rPr>
        <w:t xml:space="preserve">SA pool and its associated data pool can be </w:t>
      </w:r>
      <w:proofErr w:type="spellStart"/>
      <w:r w:rsidRPr="000A33FB">
        <w:rPr>
          <w:rFonts w:eastAsia="MS Mincho" w:hint="eastAsia"/>
          <w:i/>
          <w:sz w:val="22"/>
          <w:szCs w:val="22"/>
          <w:lang w:val="en-US" w:eastAsia="ja-JP"/>
        </w:rPr>
        <w:t>FDMed</w:t>
      </w:r>
      <w:proofErr w:type="spellEnd"/>
    </w:p>
    <w:p w:rsidR="00DE4F23" w:rsidRPr="000A33FB" w:rsidRDefault="00DE4F23" w:rsidP="00E57705">
      <w:pPr>
        <w:numPr>
          <w:ilvl w:val="0"/>
          <w:numId w:val="7"/>
        </w:numPr>
        <w:tabs>
          <w:tab w:val="clear" w:pos="720"/>
          <w:tab w:val="num" w:pos="920"/>
        </w:tabs>
        <w:spacing w:after="0"/>
        <w:rPr>
          <w:rFonts w:eastAsia="MS Mincho"/>
          <w:i/>
          <w:sz w:val="22"/>
          <w:szCs w:val="22"/>
          <w:lang w:val="en-US" w:eastAsia="ja-JP"/>
        </w:rPr>
      </w:pPr>
      <w:r w:rsidRPr="000A33FB">
        <w:rPr>
          <w:rFonts w:eastAsia="MS Mincho"/>
          <w:i/>
          <w:sz w:val="22"/>
          <w:szCs w:val="22"/>
          <w:lang w:val="en-US" w:eastAsia="ja-JP"/>
        </w:rPr>
        <w:t>Channel coding and DFT precoding between PSCCH and PSSCH are separated</w:t>
      </w:r>
    </w:p>
    <w:p w:rsidR="00DE4F23" w:rsidRPr="000A33FB" w:rsidRDefault="00DE4F23" w:rsidP="00E57705">
      <w:pPr>
        <w:numPr>
          <w:ilvl w:val="0"/>
          <w:numId w:val="7"/>
        </w:numPr>
        <w:tabs>
          <w:tab w:val="clear" w:pos="720"/>
          <w:tab w:val="num" w:pos="920"/>
        </w:tabs>
        <w:spacing w:after="0"/>
        <w:rPr>
          <w:rFonts w:eastAsia="MS Mincho"/>
          <w:i/>
          <w:sz w:val="22"/>
          <w:szCs w:val="22"/>
          <w:lang w:val="en-US" w:eastAsia="ja-JP"/>
        </w:rPr>
      </w:pPr>
      <w:r w:rsidRPr="000A33FB">
        <w:rPr>
          <w:rFonts w:eastAsia="MS Mincho" w:hint="eastAsia"/>
          <w:i/>
          <w:sz w:val="22"/>
          <w:szCs w:val="22"/>
          <w:lang w:val="en-US" w:eastAsia="ja-JP"/>
        </w:rPr>
        <w:t>S</w:t>
      </w:r>
      <w:r w:rsidRPr="000A33FB">
        <w:rPr>
          <w:rFonts w:eastAsia="MS Mincho"/>
          <w:i/>
          <w:sz w:val="22"/>
          <w:szCs w:val="22"/>
          <w:lang w:val="en-US" w:eastAsia="ja-JP"/>
        </w:rPr>
        <w:t>cheduling assignment of PSSCH is transmitted on PSCCH</w:t>
      </w:r>
      <w:r w:rsidRPr="000A33FB">
        <w:rPr>
          <w:rFonts w:eastAsia="MS Mincho" w:hint="eastAsia"/>
          <w:i/>
          <w:sz w:val="22"/>
          <w:szCs w:val="22"/>
          <w:lang w:val="en-US" w:eastAsia="ja-JP"/>
        </w:rPr>
        <w:t xml:space="preserve"> from this UE</w:t>
      </w:r>
    </w:p>
    <w:p w:rsidR="00DE4F23" w:rsidRPr="000A33FB" w:rsidRDefault="00DE4F23" w:rsidP="00E57705">
      <w:pPr>
        <w:numPr>
          <w:ilvl w:val="0"/>
          <w:numId w:val="7"/>
        </w:numPr>
        <w:tabs>
          <w:tab w:val="clear" w:pos="720"/>
          <w:tab w:val="num" w:pos="920"/>
        </w:tabs>
        <w:spacing w:after="0"/>
        <w:rPr>
          <w:rFonts w:eastAsia="MS Mincho"/>
          <w:i/>
          <w:sz w:val="22"/>
          <w:szCs w:val="22"/>
          <w:lang w:val="en-US" w:eastAsia="ja-JP"/>
        </w:rPr>
      </w:pPr>
      <w:r w:rsidRPr="000A33FB">
        <w:rPr>
          <w:rFonts w:eastAsia="MS Mincho"/>
          <w:i/>
          <w:sz w:val="22"/>
          <w:szCs w:val="22"/>
          <w:lang w:val="en-US" w:eastAsia="ja-JP"/>
        </w:rPr>
        <w:t>RB size of PSCCH is fixed in the specification.</w:t>
      </w:r>
    </w:p>
    <w:p w:rsidR="00544B04" w:rsidRPr="000A33FB" w:rsidRDefault="00DE4F23" w:rsidP="00E57705">
      <w:pPr>
        <w:numPr>
          <w:ilvl w:val="0"/>
          <w:numId w:val="7"/>
        </w:numPr>
        <w:tabs>
          <w:tab w:val="clear" w:pos="720"/>
          <w:tab w:val="num" w:pos="920"/>
        </w:tabs>
        <w:overflowPunct w:val="0"/>
        <w:autoSpaceDE w:val="0"/>
        <w:autoSpaceDN w:val="0"/>
        <w:adjustRightInd w:val="0"/>
        <w:spacing w:after="120"/>
        <w:ind w:left="568" w:firstLine="284"/>
        <w:jc w:val="both"/>
        <w:textAlignment w:val="baseline"/>
        <w:rPr>
          <w:rFonts w:eastAsia="Malgun Gothic"/>
          <w:bCs/>
          <w:i/>
          <w:iCs/>
          <w:sz w:val="22"/>
          <w:szCs w:val="22"/>
          <w:lang w:val="en-US" w:eastAsia="ko-KR"/>
        </w:rPr>
      </w:pPr>
      <w:r w:rsidRPr="000A33FB">
        <w:rPr>
          <w:rFonts w:eastAsia="MS Mincho"/>
          <w:i/>
          <w:sz w:val="22"/>
          <w:szCs w:val="22"/>
          <w:lang w:val="en-US" w:eastAsia="ja-JP"/>
        </w:rPr>
        <w:t>FFS contents of PSCCH</w:t>
      </w:r>
    </w:p>
    <w:p w:rsidR="00E57705" w:rsidRDefault="000A33FB" w:rsidP="005360AD">
      <w:pPr>
        <w:pStyle w:val="BodyText"/>
        <w:spacing w:after="240"/>
        <w:jc w:val="both"/>
        <w:rPr>
          <w:sz w:val="22"/>
          <w:szCs w:val="22"/>
        </w:rPr>
      </w:pPr>
      <w:r>
        <w:rPr>
          <w:sz w:val="22"/>
          <w:szCs w:val="22"/>
        </w:rPr>
        <w:t>In Rel-12 sidelink the content</w:t>
      </w:r>
      <w:r w:rsidR="00350718">
        <w:rPr>
          <w:sz w:val="22"/>
          <w:szCs w:val="22"/>
        </w:rPr>
        <w:t>s</w:t>
      </w:r>
      <w:r>
        <w:rPr>
          <w:sz w:val="22"/>
          <w:szCs w:val="22"/>
        </w:rPr>
        <w:t xml:space="preserve"> of PSCCH and the contents of downlink control information</w:t>
      </w:r>
      <w:r w:rsidR="00350718">
        <w:rPr>
          <w:sz w:val="22"/>
          <w:szCs w:val="22"/>
        </w:rPr>
        <w:t xml:space="preserve"> </w:t>
      </w:r>
      <w:r>
        <w:rPr>
          <w:sz w:val="22"/>
          <w:szCs w:val="22"/>
        </w:rPr>
        <w:t>for Mode-1 resource allocation are coupled</w:t>
      </w:r>
      <w:r w:rsidR="00E40612">
        <w:rPr>
          <w:sz w:val="22"/>
          <w:szCs w:val="22"/>
        </w:rPr>
        <w:t xml:space="preserve">. </w:t>
      </w:r>
      <w:r>
        <w:rPr>
          <w:sz w:val="22"/>
          <w:szCs w:val="22"/>
        </w:rPr>
        <w:t>Therefore i</w:t>
      </w:r>
      <w:r w:rsidR="00E40612">
        <w:rPr>
          <w:sz w:val="22"/>
          <w:szCs w:val="22"/>
        </w:rPr>
        <w:t xml:space="preserve">n this paper we discuss </w:t>
      </w:r>
      <w:r w:rsidR="006B6BFA">
        <w:rPr>
          <w:sz w:val="22"/>
          <w:szCs w:val="22"/>
        </w:rPr>
        <w:t xml:space="preserve">the </w:t>
      </w:r>
      <w:r w:rsidR="00350718">
        <w:rPr>
          <w:sz w:val="22"/>
          <w:szCs w:val="22"/>
        </w:rPr>
        <w:t>contents of</w:t>
      </w:r>
      <w:r w:rsidR="00E40612">
        <w:rPr>
          <w:sz w:val="22"/>
          <w:szCs w:val="22"/>
        </w:rPr>
        <w:t xml:space="preserve"> </w:t>
      </w:r>
      <w:r w:rsidR="006B6BFA">
        <w:rPr>
          <w:sz w:val="22"/>
          <w:szCs w:val="22"/>
        </w:rPr>
        <w:t xml:space="preserve">downlink control information </w:t>
      </w:r>
      <w:r w:rsidR="00E40612">
        <w:rPr>
          <w:sz w:val="22"/>
          <w:szCs w:val="22"/>
        </w:rPr>
        <w:t>in</w:t>
      </w:r>
      <w:r w:rsidR="006B6BFA">
        <w:rPr>
          <w:sz w:val="22"/>
          <w:szCs w:val="22"/>
        </w:rPr>
        <w:t xml:space="preserve"> Mode-1 resource allocation</w:t>
      </w:r>
      <w:r w:rsidR="00E40612">
        <w:rPr>
          <w:sz w:val="22"/>
          <w:szCs w:val="22"/>
        </w:rPr>
        <w:t xml:space="preserve"> of V2X over PC5.</w:t>
      </w:r>
      <w:r w:rsidRPr="000A33FB">
        <w:rPr>
          <w:sz w:val="22"/>
          <w:szCs w:val="22"/>
        </w:rPr>
        <w:t xml:space="preserve"> </w:t>
      </w:r>
      <w:r w:rsidR="00350718">
        <w:rPr>
          <w:sz w:val="22"/>
          <w:szCs w:val="22"/>
        </w:rPr>
        <w:t>W</w:t>
      </w:r>
      <w:r>
        <w:rPr>
          <w:sz w:val="22"/>
          <w:szCs w:val="22"/>
        </w:rPr>
        <w:t xml:space="preserve">e discuss </w:t>
      </w:r>
      <w:r w:rsidRPr="005F058D">
        <w:rPr>
          <w:sz w:val="22"/>
          <w:szCs w:val="22"/>
        </w:rPr>
        <w:t>the contents of PSCCH</w:t>
      </w:r>
      <w:r w:rsidR="00350718">
        <w:rPr>
          <w:sz w:val="22"/>
          <w:szCs w:val="22"/>
        </w:rPr>
        <w:t xml:space="preserve"> in a companion contribution </w:t>
      </w:r>
      <w:r w:rsidR="00350718">
        <w:rPr>
          <w:sz w:val="22"/>
          <w:szCs w:val="22"/>
        </w:rPr>
        <w:fldChar w:fldCharType="begin"/>
      </w:r>
      <w:r w:rsidR="00350718">
        <w:rPr>
          <w:sz w:val="22"/>
          <w:szCs w:val="22"/>
        </w:rPr>
        <w:instrText xml:space="preserve"> REF _Ref447202561 \r \h </w:instrText>
      </w:r>
      <w:r w:rsidR="00350718">
        <w:rPr>
          <w:sz w:val="22"/>
          <w:szCs w:val="22"/>
        </w:rPr>
      </w:r>
      <w:r w:rsidR="00350718">
        <w:rPr>
          <w:sz w:val="22"/>
          <w:szCs w:val="22"/>
        </w:rPr>
        <w:fldChar w:fldCharType="separate"/>
      </w:r>
      <w:r w:rsidR="00350718">
        <w:rPr>
          <w:sz w:val="22"/>
          <w:szCs w:val="22"/>
        </w:rPr>
        <w:t>[1]</w:t>
      </w:r>
      <w:r w:rsidR="00350718">
        <w:rPr>
          <w:sz w:val="22"/>
          <w:szCs w:val="22"/>
        </w:rPr>
        <w:fldChar w:fldCharType="end"/>
      </w:r>
      <w:r>
        <w:rPr>
          <w:sz w:val="22"/>
          <w:szCs w:val="22"/>
        </w:rPr>
        <w:t>.</w:t>
      </w:r>
    </w:p>
    <w:p w:rsidR="001C33A7" w:rsidRDefault="00E40612" w:rsidP="001C33A7">
      <w:pPr>
        <w:pStyle w:val="Heading1"/>
      </w:pPr>
      <w:r>
        <w:t>Downlink control information</w:t>
      </w:r>
    </w:p>
    <w:p w:rsidR="00350718" w:rsidRPr="00CC0771" w:rsidRDefault="00350718" w:rsidP="00A6573F">
      <w:pPr>
        <w:jc w:val="both"/>
      </w:pPr>
      <w:r>
        <w:rPr>
          <w:sz w:val="22"/>
          <w:szCs w:val="22"/>
        </w:rPr>
        <w:t>In Rel-12 sidelink design, the protocol for mode-1 resource allocation is as follows:</w:t>
      </w:r>
      <w:r w:rsidR="00A6573F">
        <w:rPr>
          <w:sz w:val="22"/>
          <w:szCs w:val="22"/>
        </w:rPr>
        <w:t xml:space="preserve">  </w:t>
      </w:r>
      <w:r w:rsidRPr="00CC0771">
        <w:rPr>
          <w:sz w:val="22"/>
          <w:szCs w:val="22"/>
        </w:rPr>
        <w:t xml:space="preserve">When a UE has D2D data to transmit it sends the buffer status report (BSR) to the </w:t>
      </w:r>
      <w:proofErr w:type="spellStart"/>
      <w:r w:rsidRPr="00CC0771">
        <w:rPr>
          <w:sz w:val="22"/>
          <w:szCs w:val="22"/>
        </w:rPr>
        <w:t>eNB</w:t>
      </w:r>
      <w:proofErr w:type="spellEnd"/>
      <w:r w:rsidRPr="00CC0771">
        <w:rPr>
          <w:sz w:val="22"/>
          <w:szCs w:val="22"/>
        </w:rPr>
        <w:t xml:space="preserve">, giving some indication of how much resource is needed for transmitting the data. The </w:t>
      </w:r>
      <w:proofErr w:type="spellStart"/>
      <w:r w:rsidRPr="00CC0771">
        <w:rPr>
          <w:sz w:val="22"/>
          <w:szCs w:val="22"/>
        </w:rPr>
        <w:t>eNB</w:t>
      </w:r>
      <w:proofErr w:type="spellEnd"/>
      <w:r w:rsidRPr="00CC0771">
        <w:rPr>
          <w:sz w:val="22"/>
          <w:szCs w:val="22"/>
        </w:rPr>
        <w:t xml:space="preserve"> sends back to the UE, via the PDCCH, the information about resources allocated on both PSCCH and PSSCH for the UE to perform D2D transmission. The allocation information sent in PDCCH is encapsulated in the downlink control information (DCI) Format 5, scrambled by the SL-RNTI. A large part of DCI Format 5 maps directly to the contents of the sidelink control information (SCI) Format 0, to facilitate the </w:t>
      </w:r>
      <w:proofErr w:type="spellStart"/>
      <w:r w:rsidRPr="00CC0771">
        <w:rPr>
          <w:sz w:val="22"/>
          <w:szCs w:val="22"/>
        </w:rPr>
        <w:t>sidelink</w:t>
      </w:r>
      <w:proofErr w:type="spellEnd"/>
      <w:r w:rsidRPr="00CC0771">
        <w:rPr>
          <w:sz w:val="22"/>
          <w:szCs w:val="22"/>
        </w:rPr>
        <w:t xml:space="preserve"> </w:t>
      </w:r>
      <w:proofErr w:type="spellStart"/>
      <w:r w:rsidRPr="00CC0771">
        <w:rPr>
          <w:sz w:val="22"/>
          <w:szCs w:val="22"/>
        </w:rPr>
        <w:t>signaling</w:t>
      </w:r>
      <w:proofErr w:type="spellEnd"/>
      <w:r w:rsidRPr="00CC0771">
        <w:rPr>
          <w:sz w:val="22"/>
          <w:szCs w:val="22"/>
        </w:rPr>
        <w:t xml:space="preserve">. The contents of the DCI Format 5 are given </w:t>
      </w:r>
      <w:r w:rsidR="009C72F5">
        <w:rPr>
          <w:sz w:val="22"/>
          <w:szCs w:val="22"/>
        </w:rPr>
        <w:t>in the Appendix</w:t>
      </w:r>
      <w:r w:rsidRPr="00CC0771">
        <w:t>.</w:t>
      </w:r>
    </w:p>
    <w:p w:rsidR="0068329B" w:rsidRDefault="00745CCC" w:rsidP="006F1C64">
      <w:pPr>
        <w:pStyle w:val="BodyText"/>
        <w:spacing w:after="240"/>
        <w:jc w:val="both"/>
        <w:rPr>
          <w:sz w:val="22"/>
          <w:szCs w:val="22"/>
        </w:rPr>
      </w:pPr>
      <w:r>
        <w:rPr>
          <w:sz w:val="22"/>
          <w:szCs w:val="22"/>
          <w:lang w:val="en-GB"/>
        </w:rPr>
        <w:t xml:space="preserve">In principle the above </w:t>
      </w:r>
      <w:r w:rsidR="008F25FD">
        <w:rPr>
          <w:sz w:val="22"/>
          <w:szCs w:val="22"/>
        </w:rPr>
        <w:t xml:space="preserve">procedure </w:t>
      </w:r>
      <w:r w:rsidR="00A6573F">
        <w:rPr>
          <w:sz w:val="22"/>
          <w:szCs w:val="22"/>
        </w:rPr>
        <w:t xml:space="preserve">can be applied to the </w:t>
      </w:r>
      <w:r>
        <w:rPr>
          <w:sz w:val="22"/>
          <w:szCs w:val="22"/>
        </w:rPr>
        <w:t xml:space="preserve">Mode-1 </w:t>
      </w:r>
      <w:r w:rsidR="00A6573F">
        <w:rPr>
          <w:sz w:val="22"/>
          <w:szCs w:val="22"/>
        </w:rPr>
        <w:t xml:space="preserve">resource allocation </w:t>
      </w:r>
      <w:r>
        <w:rPr>
          <w:sz w:val="22"/>
          <w:szCs w:val="22"/>
        </w:rPr>
        <w:t xml:space="preserve">for V2X over PC5. However, the </w:t>
      </w:r>
      <w:r w:rsidR="00FC16C7">
        <w:rPr>
          <w:sz w:val="22"/>
          <w:szCs w:val="22"/>
        </w:rPr>
        <w:t>following aspects should be taken into account</w:t>
      </w:r>
      <w:r>
        <w:rPr>
          <w:sz w:val="22"/>
          <w:szCs w:val="22"/>
        </w:rPr>
        <w:t xml:space="preserve"> when designing the DCI (see </w:t>
      </w:r>
      <w:r>
        <w:rPr>
          <w:sz w:val="22"/>
          <w:szCs w:val="22"/>
        </w:rPr>
        <w:fldChar w:fldCharType="begin"/>
      </w:r>
      <w:r>
        <w:rPr>
          <w:sz w:val="22"/>
          <w:szCs w:val="22"/>
        </w:rPr>
        <w:instrText xml:space="preserve"> REF _Ref447205861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for details)</w:t>
      </w:r>
      <w:r w:rsidR="00FC16C7">
        <w:rPr>
          <w:sz w:val="22"/>
          <w:szCs w:val="22"/>
        </w:rPr>
        <w:t>:</w:t>
      </w:r>
    </w:p>
    <w:p w:rsidR="00FC16C7" w:rsidRDefault="00FC16C7" w:rsidP="00E57705">
      <w:pPr>
        <w:pStyle w:val="BodyText"/>
        <w:numPr>
          <w:ilvl w:val="0"/>
          <w:numId w:val="10"/>
        </w:numPr>
        <w:spacing w:after="240"/>
        <w:jc w:val="both"/>
        <w:rPr>
          <w:sz w:val="22"/>
          <w:szCs w:val="22"/>
        </w:rPr>
      </w:pPr>
      <w:r>
        <w:rPr>
          <w:sz w:val="22"/>
          <w:szCs w:val="22"/>
        </w:rPr>
        <w:t xml:space="preserve">Support of SPS </w:t>
      </w:r>
    </w:p>
    <w:p w:rsidR="00FC16C7" w:rsidRDefault="00FC16C7" w:rsidP="00E57705">
      <w:pPr>
        <w:pStyle w:val="BodyText"/>
        <w:numPr>
          <w:ilvl w:val="0"/>
          <w:numId w:val="10"/>
        </w:numPr>
        <w:spacing w:after="240"/>
        <w:jc w:val="both"/>
        <w:rPr>
          <w:sz w:val="22"/>
          <w:szCs w:val="22"/>
        </w:rPr>
      </w:pPr>
      <w:r>
        <w:rPr>
          <w:sz w:val="22"/>
          <w:szCs w:val="22"/>
        </w:rPr>
        <w:t xml:space="preserve">Transmission of SA and its associated data in the same </w:t>
      </w:r>
      <w:proofErr w:type="spellStart"/>
      <w:r>
        <w:rPr>
          <w:sz w:val="22"/>
          <w:szCs w:val="22"/>
        </w:rPr>
        <w:t>subframe</w:t>
      </w:r>
      <w:proofErr w:type="spellEnd"/>
      <w:r w:rsidR="00745CCC">
        <w:rPr>
          <w:sz w:val="22"/>
          <w:szCs w:val="22"/>
        </w:rPr>
        <w:t>.</w:t>
      </w:r>
    </w:p>
    <w:p w:rsidR="00745CCC" w:rsidRPr="00170235" w:rsidRDefault="00745CCC" w:rsidP="00E57705">
      <w:pPr>
        <w:pStyle w:val="BodyText"/>
        <w:numPr>
          <w:ilvl w:val="0"/>
          <w:numId w:val="10"/>
        </w:numPr>
        <w:spacing w:after="240"/>
        <w:jc w:val="both"/>
        <w:rPr>
          <w:sz w:val="22"/>
          <w:szCs w:val="22"/>
        </w:rPr>
      </w:pPr>
      <w:r>
        <w:rPr>
          <w:sz w:val="22"/>
          <w:szCs w:val="22"/>
        </w:rPr>
        <w:t xml:space="preserve">Support of booking resources for future transmissions </w:t>
      </w:r>
    </w:p>
    <w:p w:rsidR="00ED750F" w:rsidRDefault="00745CCC" w:rsidP="00745CCC">
      <w:pPr>
        <w:pStyle w:val="ListParagraph"/>
        <w:ind w:left="0"/>
        <w:rPr>
          <w:rFonts w:ascii="Times New Roman" w:hAnsi="Times New Roman" w:cs="Times New Roman"/>
          <w:lang w:val="en-GB"/>
        </w:rPr>
      </w:pPr>
      <w:r>
        <w:rPr>
          <w:rFonts w:ascii="Times New Roman" w:hAnsi="Times New Roman" w:cs="Times New Roman"/>
          <w:lang w:val="en-GB"/>
        </w:rPr>
        <w:t xml:space="preserve">These aspects, together with the proposed contents for the PSCCH in </w:t>
      </w:r>
      <w:r>
        <w:rPr>
          <w:rFonts w:ascii="Times New Roman" w:hAnsi="Times New Roman" w:cs="Times New Roman"/>
          <w:lang w:val="en-GB"/>
        </w:rPr>
        <w:fldChar w:fldCharType="begin"/>
      </w:r>
      <w:r>
        <w:rPr>
          <w:rFonts w:ascii="Times New Roman" w:hAnsi="Times New Roman" w:cs="Times New Roman"/>
          <w:lang w:val="en-GB"/>
        </w:rPr>
        <w:instrText xml:space="preserve"> REF _Ref447202561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motivate us to propose the following format for DCI for </w:t>
      </w:r>
      <w:r w:rsidR="00965B5C">
        <w:rPr>
          <w:rFonts w:ascii="Times New Roman" w:hAnsi="Times New Roman" w:cs="Times New Roman"/>
          <w:lang w:val="en-GB"/>
        </w:rPr>
        <w:t xml:space="preserve">centralized resource allocation, captured in </w:t>
      </w:r>
      <w:r w:rsidR="00EC267E">
        <w:rPr>
          <w:rFonts w:ascii="Times New Roman" w:hAnsi="Times New Roman" w:cs="Times New Roman"/>
          <w:lang w:val="en-GB"/>
        </w:rPr>
        <w:fldChar w:fldCharType="begin"/>
      </w:r>
      <w:r w:rsidR="00EC267E">
        <w:rPr>
          <w:rFonts w:ascii="Times New Roman" w:hAnsi="Times New Roman" w:cs="Times New Roman"/>
          <w:lang w:val="en-GB"/>
        </w:rPr>
        <w:instrText xml:space="preserve"> REF _Ref447208649 \h  \* MERGEFORMAT </w:instrText>
      </w:r>
      <w:r w:rsidR="00EC267E">
        <w:rPr>
          <w:rFonts w:ascii="Times New Roman" w:hAnsi="Times New Roman" w:cs="Times New Roman"/>
          <w:lang w:val="en-GB"/>
        </w:rPr>
      </w:r>
      <w:r w:rsidR="00EC267E">
        <w:rPr>
          <w:rFonts w:ascii="Times New Roman" w:hAnsi="Times New Roman" w:cs="Times New Roman"/>
          <w:lang w:val="en-GB"/>
        </w:rPr>
        <w:fldChar w:fldCharType="separate"/>
      </w:r>
      <w:r w:rsidR="00EC267E" w:rsidRPr="00EC267E">
        <w:rPr>
          <w:rFonts w:ascii="Times New Roman" w:hAnsi="Times New Roman" w:cs="Times New Roman"/>
          <w:lang w:val="en-GB"/>
        </w:rPr>
        <w:t>Table 1</w:t>
      </w:r>
      <w:r w:rsidR="00EC267E">
        <w:rPr>
          <w:rFonts w:ascii="Times New Roman" w:hAnsi="Times New Roman" w:cs="Times New Roman"/>
          <w:lang w:val="en-GB"/>
        </w:rPr>
        <w:fldChar w:fldCharType="end"/>
      </w:r>
      <w:r w:rsidR="00EC267E">
        <w:rPr>
          <w:rFonts w:ascii="Times New Roman" w:hAnsi="Times New Roman" w:cs="Times New Roman"/>
          <w:lang w:val="en-GB"/>
        </w:rPr>
        <w:t>.</w:t>
      </w:r>
    </w:p>
    <w:p w:rsidR="00ED750F" w:rsidRDefault="00ED750F">
      <w:pPr>
        <w:spacing w:after="0"/>
        <w:rPr>
          <w:sz w:val="22"/>
          <w:szCs w:val="22"/>
          <w:lang w:eastAsia="zh-CN"/>
        </w:rPr>
      </w:pPr>
      <w:r>
        <w:br w:type="page"/>
      </w:r>
    </w:p>
    <w:p w:rsidR="00CC0771" w:rsidRPr="00ED750F" w:rsidRDefault="00ED750F" w:rsidP="00ED750F">
      <w:pPr>
        <w:pStyle w:val="Caption"/>
        <w:rPr>
          <w:sz w:val="22"/>
          <w:szCs w:val="22"/>
        </w:rPr>
      </w:pPr>
      <w:bookmarkStart w:id="3" w:name="_Ref447208649"/>
      <w:r w:rsidRPr="00ED750F">
        <w:rPr>
          <w:sz w:val="22"/>
          <w:szCs w:val="22"/>
        </w:rPr>
        <w:lastRenderedPageBreak/>
        <w:t xml:space="preserve">Table </w:t>
      </w:r>
      <w:r w:rsidRPr="00ED750F">
        <w:rPr>
          <w:sz w:val="22"/>
          <w:szCs w:val="22"/>
        </w:rPr>
        <w:fldChar w:fldCharType="begin"/>
      </w:r>
      <w:r w:rsidRPr="00ED750F">
        <w:rPr>
          <w:sz w:val="22"/>
          <w:szCs w:val="22"/>
        </w:rPr>
        <w:instrText xml:space="preserve"> SEQ Table \* ARABIC </w:instrText>
      </w:r>
      <w:r w:rsidRPr="00ED750F">
        <w:rPr>
          <w:sz w:val="22"/>
          <w:szCs w:val="22"/>
        </w:rPr>
        <w:fldChar w:fldCharType="separate"/>
      </w:r>
      <w:r w:rsidRPr="00ED750F">
        <w:rPr>
          <w:noProof/>
          <w:sz w:val="22"/>
          <w:szCs w:val="22"/>
        </w:rPr>
        <w:t>1</w:t>
      </w:r>
      <w:r w:rsidRPr="00ED750F">
        <w:rPr>
          <w:sz w:val="22"/>
          <w:szCs w:val="22"/>
        </w:rPr>
        <w:fldChar w:fldCharType="end"/>
      </w:r>
      <w:bookmarkEnd w:id="3"/>
      <w:r>
        <w:rPr>
          <w:sz w:val="22"/>
          <w:szCs w:val="22"/>
        </w:rPr>
        <w:t xml:space="preserve"> – Contents of the DCI for centralized resource allocation for V2X over PC5 </w:t>
      </w:r>
    </w:p>
    <w:p w:rsidR="00965B5C" w:rsidRPr="00CC0771" w:rsidRDefault="00965B5C" w:rsidP="00745CCC">
      <w:pPr>
        <w:pStyle w:val="ListParagraph"/>
        <w:ind w:left="0"/>
        <w:rPr>
          <w:rFonts w:ascii="Times New Roman" w:hAnsi="Times New Roman" w:cs="Times New Roman"/>
          <w:lang w:val="en-GB"/>
        </w:rPr>
      </w:pPr>
    </w:p>
    <w:tbl>
      <w:tblPr>
        <w:tblStyle w:val="TableGrid"/>
        <w:tblW w:w="0" w:type="auto"/>
        <w:tblLook w:val="04A0" w:firstRow="1" w:lastRow="0" w:firstColumn="1" w:lastColumn="0" w:noHBand="0" w:noVBand="1"/>
      </w:tblPr>
      <w:tblGrid>
        <w:gridCol w:w="1960"/>
        <w:gridCol w:w="3934"/>
        <w:gridCol w:w="4585"/>
      </w:tblGrid>
      <w:tr w:rsidR="00965B5C" w:rsidTr="00C3374A">
        <w:trPr>
          <w:trHeight w:val="659"/>
        </w:trPr>
        <w:tc>
          <w:tcPr>
            <w:tcW w:w="1960" w:type="dxa"/>
          </w:tcPr>
          <w:p w:rsidR="00965B5C" w:rsidRPr="0068329B" w:rsidRDefault="00965B5C" w:rsidP="00851D72">
            <w:pPr>
              <w:pStyle w:val="BodyText"/>
              <w:spacing w:after="240"/>
              <w:jc w:val="center"/>
              <w:rPr>
                <w:b/>
                <w:sz w:val="22"/>
                <w:szCs w:val="22"/>
              </w:rPr>
            </w:pPr>
            <w:r w:rsidRPr="0068329B">
              <w:rPr>
                <w:b/>
                <w:sz w:val="22"/>
                <w:szCs w:val="22"/>
              </w:rPr>
              <w:t>Name of field</w:t>
            </w:r>
          </w:p>
        </w:tc>
        <w:tc>
          <w:tcPr>
            <w:tcW w:w="3934" w:type="dxa"/>
          </w:tcPr>
          <w:p w:rsidR="00965B5C" w:rsidRPr="0068329B" w:rsidRDefault="00965B5C" w:rsidP="00851D72">
            <w:pPr>
              <w:pStyle w:val="BodyText"/>
              <w:spacing w:after="240"/>
              <w:jc w:val="center"/>
              <w:rPr>
                <w:b/>
                <w:sz w:val="22"/>
                <w:szCs w:val="22"/>
              </w:rPr>
            </w:pPr>
            <w:r>
              <w:rPr>
                <w:b/>
                <w:sz w:val="22"/>
                <w:szCs w:val="22"/>
              </w:rPr>
              <w:t>Meaning</w:t>
            </w:r>
          </w:p>
        </w:tc>
        <w:tc>
          <w:tcPr>
            <w:tcW w:w="4585" w:type="dxa"/>
          </w:tcPr>
          <w:p w:rsidR="00965B5C" w:rsidRPr="0068329B" w:rsidRDefault="00965B5C" w:rsidP="008F323E">
            <w:pPr>
              <w:pStyle w:val="BodyText"/>
              <w:spacing w:after="240"/>
              <w:jc w:val="center"/>
              <w:rPr>
                <w:b/>
                <w:sz w:val="22"/>
                <w:szCs w:val="22"/>
              </w:rPr>
            </w:pPr>
            <w:r w:rsidRPr="0068329B">
              <w:rPr>
                <w:b/>
                <w:sz w:val="22"/>
                <w:szCs w:val="22"/>
              </w:rPr>
              <w:t xml:space="preserve">Length </w:t>
            </w:r>
            <w:r>
              <w:rPr>
                <w:b/>
                <w:sz w:val="22"/>
                <w:szCs w:val="22"/>
              </w:rPr>
              <w:t>in bits (indicative)</w:t>
            </w:r>
          </w:p>
        </w:tc>
      </w:tr>
      <w:tr w:rsidR="00965B5C" w:rsidTr="00C3374A">
        <w:tc>
          <w:tcPr>
            <w:tcW w:w="1960" w:type="dxa"/>
          </w:tcPr>
          <w:p w:rsidR="00965B5C" w:rsidRPr="0068329B" w:rsidRDefault="00965B5C" w:rsidP="00851D72">
            <w:pPr>
              <w:pStyle w:val="BodyText"/>
              <w:spacing w:after="240"/>
              <w:rPr>
                <w:sz w:val="22"/>
                <w:szCs w:val="22"/>
              </w:rPr>
            </w:pPr>
            <w:r>
              <w:rPr>
                <w:sz w:val="22"/>
                <w:szCs w:val="22"/>
              </w:rPr>
              <w:t>Resource for PSCCH</w:t>
            </w:r>
          </w:p>
        </w:tc>
        <w:tc>
          <w:tcPr>
            <w:tcW w:w="3934" w:type="dxa"/>
          </w:tcPr>
          <w:p w:rsidR="00965B5C" w:rsidRPr="0068329B" w:rsidRDefault="00965B5C" w:rsidP="00965B5C">
            <w:pPr>
              <w:pStyle w:val="BodyText"/>
              <w:spacing w:after="240"/>
              <w:ind w:left="24"/>
              <w:jc w:val="both"/>
              <w:rPr>
                <w:sz w:val="22"/>
                <w:szCs w:val="22"/>
              </w:rPr>
            </w:pPr>
            <w:r>
              <w:rPr>
                <w:sz w:val="22"/>
                <w:szCs w:val="22"/>
              </w:rPr>
              <w:t>Indicate resources for transmitting the PSCCH</w:t>
            </w:r>
          </w:p>
        </w:tc>
        <w:tc>
          <w:tcPr>
            <w:tcW w:w="4585" w:type="dxa"/>
          </w:tcPr>
          <w:p w:rsidR="00965B5C" w:rsidRPr="0068329B" w:rsidRDefault="00EC267E" w:rsidP="00EC267E">
            <w:pPr>
              <w:pStyle w:val="BodyText"/>
              <w:spacing w:after="240"/>
              <w:ind w:left="720"/>
              <w:jc w:val="both"/>
              <w:rPr>
                <w:sz w:val="22"/>
                <w:szCs w:val="22"/>
              </w:rPr>
            </w:pPr>
            <w:r>
              <w:rPr>
                <w:sz w:val="22"/>
                <w:szCs w:val="22"/>
              </w:rPr>
              <w:t xml:space="preserve">Maximum 6 bits </w:t>
            </w:r>
          </w:p>
        </w:tc>
      </w:tr>
      <w:tr w:rsidR="00965B5C" w:rsidTr="00C3374A">
        <w:tc>
          <w:tcPr>
            <w:tcW w:w="1960" w:type="dxa"/>
          </w:tcPr>
          <w:p w:rsidR="00965B5C" w:rsidRPr="0068329B" w:rsidRDefault="00706C19" w:rsidP="00851D72">
            <w:pPr>
              <w:pStyle w:val="BodyText"/>
              <w:spacing w:after="240"/>
              <w:rPr>
                <w:sz w:val="22"/>
                <w:szCs w:val="22"/>
              </w:rPr>
            </w:pPr>
            <w:r>
              <w:rPr>
                <w:sz w:val="22"/>
                <w:szCs w:val="22"/>
              </w:rPr>
              <w:t>Congestion control</w:t>
            </w:r>
          </w:p>
        </w:tc>
        <w:tc>
          <w:tcPr>
            <w:tcW w:w="3934" w:type="dxa"/>
          </w:tcPr>
          <w:p w:rsidR="00965B5C" w:rsidRPr="00965B5C" w:rsidRDefault="00965B5C" w:rsidP="00706C19">
            <w:pPr>
              <w:pStyle w:val="BodyText"/>
              <w:spacing w:after="240"/>
              <w:rPr>
                <w:sz w:val="22"/>
                <w:szCs w:val="22"/>
              </w:rPr>
            </w:pPr>
            <w:r w:rsidRPr="00965B5C">
              <w:rPr>
                <w:sz w:val="22"/>
                <w:szCs w:val="22"/>
              </w:rPr>
              <w:t xml:space="preserve">Indicate </w:t>
            </w:r>
            <w:r w:rsidR="00706C19">
              <w:rPr>
                <w:sz w:val="22"/>
                <w:szCs w:val="22"/>
              </w:rPr>
              <w:t xml:space="preserve">parameters for the purpose of congestion control. For example: transmission power for PSCCH and PSSCH, number of retransmissions allowed, </w:t>
            </w:r>
            <w:r w:rsidR="00706C19" w:rsidRPr="00706C19">
              <w:rPr>
                <w:sz w:val="22"/>
                <w:szCs w:val="22"/>
              </w:rPr>
              <w:t>MCS as a function of speed.</w:t>
            </w:r>
            <w:r w:rsidR="00706C19">
              <w:rPr>
                <w:sz w:val="22"/>
                <w:szCs w:val="22"/>
              </w:rPr>
              <w:t xml:space="preserve"> These parameters will determine the corresponding paramete</w:t>
            </w:r>
            <w:bookmarkStart w:id="4" w:name="_GoBack"/>
            <w:bookmarkEnd w:id="4"/>
            <w:r w:rsidR="00706C19">
              <w:rPr>
                <w:sz w:val="22"/>
                <w:szCs w:val="22"/>
              </w:rPr>
              <w:t>rs in the PSCCH.</w:t>
            </w:r>
          </w:p>
        </w:tc>
        <w:tc>
          <w:tcPr>
            <w:tcW w:w="4585" w:type="dxa"/>
          </w:tcPr>
          <w:p w:rsidR="00965B5C" w:rsidRPr="00965B5C" w:rsidRDefault="00965B5C" w:rsidP="00851D72">
            <w:pPr>
              <w:pStyle w:val="BodyText"/>
              <w:spacing w:after="240"/>
              <w:jc w:val="both"/>
              <w:rPr>
                <w:sz w:val="22"/>
                <w:szCs w:val="22"/>
              </w:rPr>
            </w:pPr>
            <w:r w:rsidRPr="00597878">
              <w:rPr>
                <w:sz w:val="22"/>
                <w:szCs w:val="22"/>
              </w:rPr>
              <w:t>Length</w:t>
            </w:r>
            <w:r>
              <w:rPr>
                <w:sz w:val="22"/>
                <w:szCs w:val="22"/>
              </w:rPr>
              <w:t xml:space="preserve"> and need</w:t>
            </w:r>
            <w:r w:rsidRPr="00597878">
              <w:rPr>
                <w:sz w:val="22"/>
                <w:szCs w:val="22"/>
              </w:rPr>
              <w:t xml:space="preserve"> </w:t>
            </w:r>
            <w:r>
              <w:rPr>
                <w:sz w:val="22"/>
                <w:szCs w:val="22"/>
              </w:rPr>
              <w:t>are</w:t>
            </w:r>
            <w:r w:rsidRPr="00597878">
              <w:rPr>
                <w:sz w:val="22"/>
                <w:szCs w:val="22"/>
              </w:rPr>
              <w:t xml:space="preserve"> </w:t>
            </w:r>
            <w:proofErr w:type="gramStart"/>
            <w:r w:rsidRPr="00597878">
              <w:rPr>
                <w:sz w:val="22"/>
                <w:szCs w:val="22"/>
              </w:rPr>
              <w:t>FFS</w:t>
            </w:r>
            <w:r w:rsidR="00E57705">
              <w:rPr>
                <w:sz w:val="22"/>
                <w:szCs w:val="22"/>
              </w:rPr>
              <w:t>,</w:t>
            </w:r>
            <w:proofErr w:type="gramEnd"/>
            <w:r w:rsidR="00E57705">
              <w:rPr>
                <w:sz w:val="22"/>
                <w:szCs w:val="22"/>
              </w:rPr>
              <w:t xml:space="preserve"> possibly carry it in RRC instead.</w:t>
            </w:r>
          </w:p>
        </w:tc>
      </w:tr>
      <w:tr w:rsidR="00C3374A" w:rsidTr="00C3374A">
        <w:tc>
          <w:tcPr>
            <w:tcW w:w="1960" w:type="dxa"/>
          </w:tcPr>
          <w:p w:rsidR="00C3374A" w:rsidRDefault="00C3374A" w:rsidP="00851D72">
            <w:pPr>
              <w:pStyle w:val="BodyText"/>
              <w:spacing w:after="240"/>
              <w:rPr>
                <w:sz w:val="22"/>
                <w:szCs w:val="22"/>
              </w:rPr>
            </w:pPr>
            <w:r w:rsidRPr="003113FC">
              <w:rPr>
                <w:sz w:val="22"/>
                <w:szCs w:val="22"/>
              </w:rPr>
              <w:t xml:space="preserve">Resource </w:t>
            </w:r>
            <w:r>
              <w:rPr>
                <w:sz w:val="22"/>
                <w:szCs w:val="22"/>
              </w:rPr>
              <w:t>a</w:t>
            </w:r>
            <w:r w:rsidRPr="003113FC">
              <w:rPr>
                <w:sz w:val="22"/>
                <w:szCs w:val="22"/>
              </w:rPr>
              <w:t>ssignment</w:t>
            </w:r>
          </w:p>
          <w:p w:rsidR="00C3374A" w:rsidRPr="0068329B" w:rsidRDefault="00C3374A" w:rsidP="00C3374A">
            <w:pPr>
              <w:pStyle w:val="BodyText"/>
              <w:spacing w:after="240"/>
              <w:rPr>
                <w:sz w:val="22"/>
                <w:szCs w:val="22"/>
              </w:rPr>
            </w:pPr>
            <w:r>
              <w:rPr>
                <w:sz w:val="22"/>
                <w:szCs w:val="22"/>
              </w:rPr>
              <w:t>(this field maps to the corresponding field in PSCCH)</w:t>
            </w:r>
          </w:p>
        </w:tc>
        <w:tc>
          <w:tcPr>
            <w:tcW w:w="3934" w:type="dxa"/>
          </w:tcPr>
          <w:p w:rsidR="00C3374A" w:rsidRPr="0068329B" w:rsidRDefault="00C3374A" w:rsidP="00851D72">
            <w:pPr>
              <w:pStyle w:val="BodyText"/>
              <w:spacing w:after="240"/>
              <w:jc w:val="both"/>
              <w:rPr>
                <w:sz w:val="22"/>
                <w:szCs w:val="22"/>
              </w:rPr>
            </w:pPr>
            <w:r w:rsidRPr="00472FE6">
              <w:rPr>
                <w:sz w:val="22"/>
                <w:szCs w:val="22"/>
              </w:rPr>
              <w:t>Indicate the time and frequency resources for the associated data</w:t>
            </w:r>
            <w:r>
              <w:rPr>
                <w:sz w:val="22"/>
                <w:szCs w:val="22"/>
              </w:rPr>
              <w:t xml:space="preserve"> as well as for future allocations (if booked)</w:t>
            </w:r>
          </w:p>
        </w:tc>
        <w:tc>
          <w:tcPr>
            <w:tcW w:w="4585" w:type="dxa"/>
          </w:tcPr>
          <w:p w:rsidR="00C3374A" w:rsidRDefault="00EE58E9" w:rsidP="00C3374A">
            <w:pPr>
              <w:pStyle w:val="BodyText"/>
              <w:spacing w:after="240"/>
              <w:jc w:val="both"/>
              <w:rPr>
                <w:sz w:val="22"/>
                <w:szCs w:val="22"/>
              </w:rPr>
            </w:pPr>
            <w:r w:rsidRPr="00765425">
              <w:rPr>
                <w:position w:val="-14"/>
                <w:sz w:val="22"/>
                <w:szCs w:val="22"/>
              </w:rPr>
              <w:object w:dxaOrig="37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5.5pt;height:21pt" o:ole="">
                  <v:imagedata r:id="rId9" o:title=""/>
                </v:shape>
                <o:OLEObject Type="Embed" ProgID="Equation.3" ShapeID="_x0000_i1026" DrawAspect="Content" ObjectID="_1521037235" r:id="rId10"/>
              </w:object>
            </w:r>
          </w:p>
          <w:p w:rsidR="00C3374A" w:rsidRPr="003F68D5" w:rsidRDefault="00C3374A" w:rsidP="00C3374A">
            <w:pPr>
              <w:pStyle w:val="BodyText"/>
              <w:spacing w:after="240"/>
              <w:jc w:val="both"/>
              <w:rPr>
                <w:rFonts w:eastAsia="MS Mincho"/>
                <w:i/>
                <w:sz w:val="22"/>
                <w:szCs w:val="22"/>
                <w:lang w:eastAsia="ja-JP"/>
              </w:rPr>
            </w:pPr>
            <w:r w:rsidRPr="003F68D5">
              <w:rPr>
                <w:rFonts w:eastAsia="MS Mincho"/>
                <w:i/>
                <w:sz w:val="22"/>
                <w:szCs w:val="22"/>
                <w:lang w:eastAsia="ja-JP"/>
              </w:rPr>
              <w:t xml:space="preserve">- </w:t>
            </w:r>
            <w:proofErr w:type="spellStart"/>
            <w:r w:rsidRPr="003F68D5">
              <w:rPr>
                <w:rFonts w:eastAsia="MS Mincho"/>
                <w:i/>
                <w:sz w:val="22"/>
                <w:szCs w:val="22"/>
                <w:lang w:eastAsia="ja-JP"/>
              </w:rPr>
              <w:t>n_tx</w:t>
            </w:r>
            <w:proofErr w:type="spellEnd"/>
            <w:r w:rsidRPr="003F68D5">
              <w:rPr>
                <w:rFonts w:eastAsia="MS Mincho"/>
                <w:i/>
                <w:sz w:val="22"/>
                <w:szCs w:val="22"/>
                <w:lang w:eastAsia="ja-JP"/>
              </w:rPr>
              <w:t xml:space="preserve">: </w:t>
            </w:r>
            <w:r w:rsidRPr="003F68D5">
              <w:rPr>
                <w:rFonts w:eastAsia="MS Mincho"/>
                <w:sz w:val="22"/>
                <w:szCs w:val="22"/>
                <w:lang w:eastAsia="ja-JP"/>
              </w:rPr>
              <w:t xml:space="preserve">number of </w:t>
            </w:r>
            <w:r>
              <w:rPr>
                <w:rFonts w:eastAsia="MS Mincho"/>
                <w:sz w:val="22"/>
                <w:szCs w:val="22"/>
                <w:lang w:eastAsia="ja-JP"/>
              </w:rPr>
              <w:t>(re)</w:t>
            </w:r>
            <w:proofErr w:type="spellStart"/>
            <w:r>
              <w:rPr>
                <w:rFonts w:eastAsia="MS Mincho"/>
                <w:sz w:val="22"/>
                <w:szCs w:val="22"/>
                <w:lang w:eastAsia="ja-JP"/>
              </w:rPr>
              <w:t>tx</w:t>
            </w:r>
            <w:proofErr w:type="spellEnd"/>
            <w:r w:rsidRPr="003F68D5">
              <w:rPr>
                <w:rFonts w:eastAsia="MS Mincho"/>
                <w:sz w:val="22"/>
                <w:szCs w:val="22"/>
                <w:lang w:eastAsia="ja-JP"/>
              </w:rPr>
              <w:t xml:space="preserve"> that an SA can schedule</w:t>
            </w:r>
            <w:r>
              <w:rPr>
                <w:rFonts w:eastAsia="MS Mincho"/>
                <w:sz w:val="22"/>
                <w:szCs w:val="22"/>
                <w:lang w:eastAsia="ja-JP"/>
              </w:rPr>
              <w:t xml:space="preserve"> (FFS)</w:t>
            </w:r>
          </w:p>
          <w:p w:rsidR="00C3374A" w:rsidRPr="003F68D5" w:rsidRDefault="00C3374A" w:rsidP="00C3374A">
            <w:pPr>
              <w:pStyle w:val="BodyText"/>
              <w:spacing w:after="240"/>
              <w:jc w:val="both"/>
              <w:rPr>
                <w:sz w:val="22"/>
                <w:szCs w:val="22"/>
              </w:rPr>
            </w:pPr>
            <w:r w:rsidRPr="003F68D5">
              <w:rPr>
                <w:rFonts w:eastAsia="MS Mincho"/>
                <w:i/>
                <w:sz w:val="22"/>
                <w:szCs w:val="22"/>
                <w:lang w:eastAsia="ja-JP"/>
              </w:rPr>
              <w:t>-</w:t>
            </w:r>
            <w:r w:rsidR="00765425">
              <w:rPr>
                <w:rFonts w:eastAsia="MS Mincho"/>
                <w:i/>
                <w:sz w:val="22"/>
                <w:szCs w:val="22"/>
                <w:lang w:eastAsia="ja-JP"/>
              </w:rPr>
              <w:t xml:space="preserve"> </w:t>
            </w:r>
            <w:r w:rsidR="00765425" w:rsidRPr="0046396E">
              <w:rPr>
                <w:position w:val="-14"/>
              </w:rPr>
              <w:object w:dxaOrig="660" w:dyaOrig="380">
                <v:shape id="_x0000_i1025" type="#_x0000_t75" style="width:33pt;height:19pt" o:ole="">
                  <v:imagedata r:id="rId11" o:title=""/>
                </v:shape>
                <o:OLEObject Type="Embed" ProgID="Equation.3" ShapeID="_x0000_i1025" DrawAspect="Content" ObjectID="_1521037236" r:id="rId12"/>
              </w:object>
            </w:r>
            <w:r w:rsidRPr="003F68D5">
              <w:rPr>
                <w:rFonts w:eastAsia="MS Mincho"/>
                <w:i/>
                <w:sz w:val="22"/>
                <w:szCs w:val="22"/>
                <w:lang w:eastAsia="ja-JP"/>
              </w:rPr>
              <w:t>:</w:t>
            </w:r>
            <w:r w:rsidRPr="003F68D5">
              <w:rPr>
                <w:rFonts w:eastAsia="MS Mincho"/>
                <w:sz w:val="22"/>
                <w:szCs w:val="22"/>
                <w:lang w:eastAsia="ja-JP"/>
              </w:rPr>
              <w:t xml:space="preserve"> </w:t>
            </w:r>
            <w:r>
              <w:rPr>
                <w:rFonts w:eastAsia="MS Mincho"/>
                <w:sz w:val="22"/>
                <w:szCs w:val="22"/>
                <w:lang w:eastAsia="ja-JP"/>
              </w:rPr>
              <w:t>max time horizon for time scheduling of (re)</w:t>
            </w:r>
            <w:proofErr w:type="spellStart"/>
            <w:r>
              <w:rPr>
                <w:rFonts w:eastAsia="MS Mincho"/>
                <w:sz w:val="22"/>
                <w:szCs w:val="22"/>
                <w:lang w:eastAsia="ja-JP"/>
              </w:rPr>
              <w:t>tx</w:t>
            </w:r>
            <w:proofErr w:type="spellEnd"/>
            <w:r>
              <w:rPr>
                <w:rFonts w:eastAsia="MS Mincho"/>
                <w:sz w:val="22"/>
                <w:szCs w:val="22"/>
                <w:lang w:eastAsia="ja-JP"/>
              </w:rPr>
              <w:t xml:space="preserve"> of the TB</w:t>
            </w:r>
            <w:r w:rsidRPr="003F68D5">
              <w:rPr>
                <w:rFonts w:eastAsia="MS Mincho"/>
                <w:sz w:val="22"/>
                <w:szCs w:val="22"/>
                <w:lang w:eastAsia="ja-JP"/>
              </w:rPr>
              <w:t xml:space="preserve"> </w:t>
            </w:r>
            <w:r>
              <w:rPr>
                <w:rFonts w:eastAsia="MS Mincho"/>
                <w:sz w:val="22"/>
                <w:szCs w:val="22"/>
                <w:lang w:eastAsia="ja-JP"/>
              </w:rPr>
              <w:t>scheduled by the</w:t>
            </w:r>
            <w:r w:rsidRPr="003F68D5">
              <w:rPr>
                <w:rFonts w:eastAsia="MS Mincho"/>
                <w:sz w:val="22"/>
                <w:szCs w:val="22"/>
                <w:lang w:eastAsia="ja-JP"/>
              </w:rPr>
              <w:t xml:space="preserve"> SA</w:t>
            </w:r>
            <w:r>
              <w:rPr>
                <w:rFonts w:eastAsia="MS Mincho"/>
                <w:sz w:val="22"/>
                <w:szCs w:val="22"/>
                <w:lang w:eastAsia="ja-JP"/>
              </w:rPr>
              <w:t xml:space="preserve"> [2]</w:t>
            </w:r>
            <w:r w:rsidRPr="003F68D5">
              <w:rPr>
                <w:rFonts w:eastAsia="MS Mincho"/>
                <w:sz w:val="22"/>
                <w:szCs w:val="22"/>
                <w:lang w:eastAsia="ja-JP"/>
              </w:rPr>
              <w:t xml:space="preserve">. </w:t>
            </w:r>
            <w:r>
              <w:rPr>
                <w:rFonts w:eastAsia="MS Mincho"/>
                <w:sz w:val="22"/>
                <w:szCs w:val="22"/>
                <w:lang w:eastAsia="ja-JP"/>
              </w:rPr>
              <w:t>Length is FFS.</w:t>
            </w:r>
          </w:p>
          <w:p w:rsidR="00C3374A" w:rsidRPr="003F68D5" w:rsidRDefault="00C3374A" w:rsidP="00C3374A">
            <w:pPr>
              <w:pStyle w:val="BodyText"/>
              <w:spacing w:after="240"/>
              <w:jc w:val="both"/>
              <w:rPr>
                <w:sz w:val="22"/>
                <w:szCs w:val="22"/>
              </w:rPr>
            </w:pPr>
            <w:r w:rsidRPr="003F68D5">
              <w:rPr>
                <w:rFonts w:eastAsia="MS Mincho"/>
                <w:i/>
                <w:sz w:val="22"/>
                <w:szCs w:val="22"/>
                <w:lang w:eastAsia="ja-JP"/>
              </w:rPr>
              <w:t xml:space="preserve">- </w:t>
            </w:r>
            <w:proofErr w:type="spellStart"/>
            <w:r w:rsidRPr="003F68D5">
              <w:rPr>
                <w:rFonts w:eastAsia="MS Mincho"/>
                <w:i/>
                <w:sz w:val="22"/>
                <w:szCs w:val="22"/>
                <w:lang w:eastAsia="ja-JP"/>
              </w:rPr>
              <w:t>n_RB</w:t>
            </w:r>
            <w:proofErr w:type="spellEnd"/>
            <w:r w:rsidRPr="003F68D5">
              <w:rPr>
                <w:rFonts w:eastAsia="MS Mincho"/>
                <w:i/>
                <w:sz w:val="22"/>
                <w:szCs w:val="22"/>
                <w:lang w:eastAsia="ja-JP"/>
              </w:rPr>
              <w:t xml:space="preserve">: </w:t>
            </w:r>
            <w:r w:rsidRPr="003F68D5">
              <w:rPr>
                <w:rFonts w:eastAsia="MS Mincho"/>
                <w:sz w:val="22"/>
                <w:szCs w:val="22"/>
                <w:lang w:eastAsia="ja-JP"/>
              </w:rPr>
              <w:t>width of the data pool in terms of resource blocks.</w:t>
            </w:r>
          </w:p>
          <w:p w:rsidR="00C3374A" w:rsidRPr="0068329B" w:rsidRDefault="00C3374A" w:rsidP="00C3374A">
            <w:pPr>
              <w:pStyle w:val="BodyText"/>
              <w:spacing w:after="240"/>
              <w:jc w:val="both"/>
              <w:rPr>
                <w:sz w:val="22"/>
                <w:szCs w:val="22"/>
              </w:rPr>
            </w:pPr>
            <w:r w:rsidRPr="003F68D5">
              <w:rPr>
                <w:sz w:val="22"/>
                <w:szCs w:val="22"/>
              </w:rPr>
              <w:t>Note that the above formula gives an upper bound on the number of bits needed. The actual number can be smaller subject to optimization (FFS the details)</w:t>
            </w:r>
            <w:r>
              <w:rPr>
                <w:sz w:val="22"/>
                <w:szCs w:val="22"/>
              </w:rPr>
              <w:t>.</w:t>
            </w:r>
          </w:p>
        </w:tc>
      </w:tr>
    </w:tbl>
    <w:p w:rsidR="009C72F5" w:rsidRDefault="009C72F5" w:rsidP="00CC0771">
      <w:pPr>
        <w:rPr>
          <w:sz w:val="22"/>
          <w:szCs w:val="22"/>
          <w:u w:val="single"/>
        </w:rPr>
      </w:pPr>
    </w:p>
    <w:p w:rsidR="00706C19" w:rsidRPr="0007346C" w:rsidRDefault="00706C19" w:rsidP="00706C19">
      <w:pPr>
        <w:pStyle w:val="BodyText"/>
        <w:spacing w:after="240"/>
        <w:jc w:val="both"/>
        <w:rPr>
          <w:b/>
          <w:i/>
          <w:sz w:val="22"/>
          <w:szCs w:val="22"/>
        </w:rPr>
      </w:pPr>
      <w:r w:rsidRPr="0007346C">
        <w:rPr>
          <w:b/>
          <w:i/>
          <w:sz w:val="22"/>
          <w:szCs w:val="22"/>
        </w:rPr>
        <w:t>Observation:</w:t>
      </w:r>
    </w:p>
    <w:p w:rsidR="00706C19" w:rsidRPr="0007346C" w:rsidRDefault="00EC267E" w:rsidP="00E57705">
      <w:pPr>
        <w:pStyle w:val="BodyText"/>
        <w:numPr>
          <w:ilvl w:val="0"/>
          <w:numId w:val="8"/>
        </w:numPr>
        <w:spacing w:after="240"/>
        <w:jc w:val="both"/>
        <w:rPr>
          <w:b/>
          <w:i/>
          <w:sz w:val="22"/>
          <w:szCs w:val="22"/>
        </w:rPr>
      </w:pPr>
      <w:r>
        <w:rPr>
          <w:b/>
          <w:i/>
          <w:sz w:val="22"/>
          <w:szCs w:val="22"/>
        </w:rPr>
        <w:t>S</w:t>
      </w:r>
      <w:r w:rsidR="00706C19">
        <w:rPr>
          <w:b/>
          <w:i/>
          <w:sz w:val="22"/>
          <w:szCs w:val="22"/>
        </w:rPr>
        <w:t xml:space="preserve">upport </w:t>
      </w:r>
      <w:r>
        <w:rPr>
          <w:b/>
          <w:i/>
          <w:sz w:val="22"/>
          <w:szCs w:val="22"/>
        </w:rPr>
        <w:t xml:space="preserve">of </w:t>
      </w:r>
      <w:r w:rsidR="00706C19">
        <w:rPr>
          <w:b/>
          <w:i/>
          <w:sz w:val="22"/>
          <w:szCs w:val="22"/>
        </w:rPr>
        <w:t xml:space="preserve">V2X over PC5 put new requirements on </w:t>
      </w:r>
      <w:r>
        <w:rPr>
          <w:b/>
          <w:i/>
          <w:sz w:val="22"/>
          <w:szCs w:val="22"/>
        </w:rPr>
        <w:t xml:space="preserve">the </w:t>
      </w:r>
      <w:r w:rsidR="00706C19">
        <w:rPr>
          <w:b/>
          <w:i/>
          <w:sz w:val="22"/>
          <w:szCs w:val="22"/>
        </w:rPr>
        <w:t>contents of the DCI</w:t>
      </w:r>
      <w:r w:rsidR="00706C19" w:rsidRPr="0007346C">
        <w:rPr>
          <w:b/>
          <w:i/>
          <w:sz w:val="22"/>
          <w:szCs w:val="22"/>
        </w:rPr>
        <w:t xml:space="preserve"> </w:t>
      </w:r>
      <w:r w:rsidR="00706C19">
        <w:rPr>
          <w:b/>
          <w:i/>
          <w:sz w:val="22"/>
          <w:szCs w:val="22"/>
        </w:rPr>
        <w:t xml:space="preserve">used for centralized resource allocation, and that </w:t>
      </w:r>
      <w:r w:rsidR="00706C19" w:rsidRPr="0007346C">
        <w:rPr>
          <w:b/>
          <w:i/>
          <w:sz w:val="22"/>
          <w:szCs w:val="22"/>
        </w:rPr>
        <w:t>should be synchronized</w:t>
      </w:r>
      <w:r w:rsidR="00706C19">
        <w:rPr>
          <w:b/>
          <w:i/>
          <w:sz w:val="22"/>
          <w:szCs w:val="22"/>
        </w:rPr>
        <w:t xml:space="preserve"> with the contents of the corresponding PSCCH</w:t>
      </w:r>
      <w:r w:rsidR="00706C19" w:rsidRPr="0007346C">
        <w:rPr>
          <w:b/>
          <w:i/>
          <w:sz w:val="22"/>
          <w:szCs w:val="22"/>
        </w:rPr>
        <w:t>.</w:t>
      </w:r>
    </w:p>
    <w:p w:rsidR="00706C19" w:rsidRDefault="00706C19" w:rsidP="00706C19">
      <w:pPr>
        <w:pStyle w:val="BodyText"/>
        <w:spacing w:after="240"/>
        <w:jc w:val="both"/>
        <w:rPr>
          <w:b/>
          <w:i/>
          <w:sz w:val="22"/>
          <w:szCs w:val="22"/>
        </w:rPr>
      </w:pPr>
      <w:r w:rsidRPr="0007346C">
        <w:rPr>
          <w:b/>
          <w:i/>
          <w:sz w:val="22"/>
          <w:szCs w:val="22"/>
        </w:rPr>
        <w:t>Proposals:</w:t>
      </w:r>
      <w:r>
        <w:rPr>
          <w:b/>
          <w:i/>
          <w:sz w:val="22"/>
          <w:szCs w:val="22"/>
        </w:rPr>
        <w:t xml:space="preserve"> </w:t>
      </w:r>
    </w:p>
    <w:p w:rsidR="00706C19" w:rsidRPr="0007346C" w:rsidRDefault="00706C19" w:rsidP="00E57705">
      <w:pPr>
        <w:pStyle w:val="BodyText"/>
        <w:numPr>
          <w:ilvl w:val="0"/>
          <w:numId w:val="8"/>
        </w:numPr>
        <w:spacing w:after="240"/>
        <w:jc w:val="both"/>
        <w:rPr>
          <w:b/>
          <w:i/>
          <w:sz w:val="22"/>
          <w:szCs w:val="22"/>
        </w:rPr>
      </w:pPr>
      <w:r>
        <w:rPr>
          <w:b/>
          <w:i/>
          <w:sz w:val="22"/>
          <w:szCs w:val="22"/>
        </w:rPr>
        <w:t xml:space="preserve">Consider the format in </w:t>
      </w:r>
      <w:r w:rsidR="00EC267E">
        <w:rPr>
          <w:b/>
          <w:i/>
          <w:sz w:val="22"/>
          <w:szCs w:val="22"/>
        </w:rPr>
        <w:fldChar w:fldCharType="begin"/>
      </w:r>
      <w:r w:rsidR="00EC267E">
        <w:rPr>
          <w:b/>
          <w:i/>
          <w:sz w:val="22"/>
          <w:szCs w:val="22"/>
        </w:rPr>
        <w:instrText xml:space="preserve"> REF _Ref447208649 \h  \* MERGEFORMAT </w:instrText>
      </w:r>
      <w:r w:rsidR="00EC267E">
        <w:rPr>
          <w:b/>
          <w:i/>
          <w:sz w:val="22"/>
          <w:szCs w:val="22"/>
        </w:rPr>
      </w:r>
      <w:r w:rsidR="00EC267E">
        <w:rPr>
          <w:b/>
          <w:i/>
          <w:sz w:val="22"/>
          <w:szCs w:val="22"/>
        </w:rPr>
        <w:fldChar w:fldCharType="separate"/>
      </w:r>
      <w:r w:rsidR="00EC267E" w:rsidRPr="00EC267E">
        <w:rPr>
          <w:b/>
          <w:i/>
          <w:sz w:val="22"/>
          <w:szCs w:val="22"/>
        </w:rPr>
        <w:t>Table 1</w:t>
      </w:r>
      <w:r w:rsidR="00EC267E">
        <w:rPr>
          <w:b/>
          <w:i/>
          <w:sz w:val="22"/>
          <w:szCs w:val="22"/>
        </w:rPr>
        <w:fldChar w:fldCharType="end"/>
      </w:r>
      <w:r w:rsidR="00EC267E">
        <w:rPr>
          <w:b/>
          <w:i/>
          <w:sz w:val="22"/>
          <w:szCs w:val="22"/>
        </w:rPr>
        <w:t xml:space="preserve"> for the </w:t>
      </w:r>
      <w:r>
        <w:rPr>
          <w:b/>
          <w:i/>
          <w:sz w:val="22"/>
          <w:szCs w:val="22"/>
        </w:rPr>
        <w:t xml:space="preserve">DCI </w:t>
      </w:r>
      <w:r w:rsidR="00EC267E">
        <w:rPr>
          <w:b/>
          <w:i/>
          <w:sz w:val="22"/>
          <w:szCs w:val="22"/>
        </w:rPr>
        <w:t>used</w:t>
      </w:r>
      <w:r>
        <w:rPr>
          <w:b/>
          <w:i/>
          <w:sz w:val="22"/>
          <w:szCs w:val="22"/>
        </w:rPr>
        <w:t xml:space="preserve"> to support </w:t>
      </w:r>
      <w:r w:rsidR="00EC267E">
        <w:rPr>
          <w:b/>
          <w:i/>
          <w:sz w:val="22"/>
          <w:szCs w:val="22"/>
        </w:rPr>
        <w:t xml:space="preserve">centralized resource allocation for </w:t>
      </w:r>
      <w:r>
        <w:rPr>
          <w:b/>
          <w:i/>
          <w:sz w:val="22"/>
          <w:szCs w:val="22"/>
        </w:rPr>
        <w:t>V2X</w:t>
      </w:r>
      <w:r w:rsidR="00EC267E">
        <w:rPr>
          <w:b/>
          <w:i/>
          <w:sz w:val="22"/>
          <w:szCs w:val="22"/>
        </w:rPr>
        <w:t xml:space="preserve"> over PC5.</w:t>
      </w:r>
    </w:p>
    <w:p w:rsidR="00706C19" w:rsidRPr="00744368" w:rsidRDefault="00706C19" w:rsidP="00706C19">
      <w:pPr>
        <w:pStyle w:val="Heading1"/>
      </w:pPr>
      <w:r w:rsidRPr="00744368">
        <w:t xml:space="preserve">Conclusion </w:t>
      </w:r>
    </w:p>
    <w:p w:rsidR="00706C19" w:rsidRDefault="00706C19" w:rsidP="00706C19">
      <w:pPr>
        <w:pStyle w:val="BodyText"/>
        <w:spacing w:after="240"/>
        <w:jc w:val="both"/>
        <w:rPr>
          <w:spacing w:val="2"/>
          <w:sz w:val="22"/>
          <w:szCs w:val="22"/>
        </w:rPr>
      </w:pPr>
      <w:r w:rsidRPr="006F2BCE">
        <w:rPr>
          <w:spacing w:val="2"/>
          <w:sz w:val="22"/>
          <w:szCs w:val="22"/>
        </w:rPr>
        <w:t xml:space="preserve">In this contribution we discuss </w:t>
      </w:r>
      <w:r>
        <w:rPr>
          <w:spacing w:val="2"/>
          <w:sz w:val="22"/>
          <w:szCs w:val="22"/>
        </w:rPr>
        <w:t>contents of DCI for scheduling resources for V2X over PC5</w:t>
      </w:r>
      <w:r w:rsidRPr="006F2BCE">
        <w:rPr>
          <w:spacing w:val="2"/>
          <w:sz w:val="22"/>
          <w:szCs w:val="22"/>
        </w:rPr>
        <w:t xml:space="preserve">. </w:t>
      </w:r>
    </w:p>
    <w:p w:rsidR="00E57705" w:rsidRPr="0007346C" w:rsidRDefault="00E57705" w:rsidP="00E57705">
      <w:pPr>
        <w:pStyle w:val="BodyText"/>
        <w:spacing w:after="240"/>
        <w:jc w:val="both"/>
        <w:rPr>
          <w:b/>
          <w:i/>
          <w:sz w:val="22"/>
          <w:szCs w:val="22"/>
        </w:rPr>
      </w:pPr>
      <w:r w:rsidRPr="0007346C">
        <w:rPr>
          <w:b/>
          <w:i/>
          <w:sz w:val="22"/>
          <w:szCs w:val="22"/>
        </w:rPr>
        <w:t>Observation:</w:t>
      </w:r>
    </w:p>
    <w:p w:rsidR="00E57705" w:rsidRPr="0007346C" w:rsidRDefault="00E57705" w:rsidP="00E57705">
      <w:pPr>
        <w:pStyle w:val="BodyText"/>
        <w:numPr>
          <w:ilvl w:val="0"/>
          <w:numId w:val="8"/>
        </w:numPr>
        <w:spacing w:after="240"/>
        <w:jc w:val="both"/>
        <w:rPr>
          <w:b/>
          <w:i/>
          <w:sz w:val="22"/>
          <w:szCs w:val="22"/>
        </w:rPr>
      </w:pPr>
      <w:r>
        <w:rPr>
          <w:b/>
          <w:i/>
          <w:sz w:val="22"/>
          <w:szCs w:val="22"/>
        </w:rPr>
        <w:t>Support of V2X over PC5 put new requirements on the contents of the DCI</w:t>
      </w:r>
      <w:r w:rsidRPr="0007346C">
        <w:rPr>
          <w:b/>
          <w:i/>
          <w:sz w:val="22"/>
          <w:szCs w:val="22"/>
        </w:rPr>
        <w:t xml:space="preserve"> </w:t>
      </w:r>
      <w:r>
        <w:rPr>
          <w:b/>
          <w:i/>
          <w:sz w:val="22"/>
          <w:szCs w:val="22"/>
        </w:rPr>
        <w:t xml:space="preserve">used for centralized resource allocation, and that </w:t>
      </w:r>
      <w:r w:rsidRPr="0007346C">
        <w:rPr>
          <w:b/>
          <w:i/>
          <w:sz w:val="22"/>
          <w:szCs w:val="22"/>
        </w:rPr>
        <w:t>should be synchronized</w:t>
      </w:r>
      <w:r>
        <w:rPr>
          <w:b/>
          <w:i/>
          <w:sz w:val="22"/>
          <w:szCs w:val="22"/>
        </w:rPr>
        <w:t xml:space="preserve"> with the contents of the corresponding PSCCH</w:t>
      </w:r>
      <w:r w:rsidRPr="0007346C">
        <w:rPr>
          <w:b/>
          <w:i/>
          <w:sz w:val="22"/>
          <w:szCs w:val="22"/>
        </w:rPr>
        <w:t>.</w:t>
      </w:r>
    </w:p>
    <w:p w:rsidR="00E57705" w:rsidRDefault="00E57705" w:rsidP="00E57705">
      <w:pPr>
        <w:pStyle w:val="BodyText"/>
        <w:spacing w:after="240"/>
        <w:jc w:val="both"/>
        <w:rPr>
          <w:b/>
          <w:i/>
          <w:sz w:val="22"/>
          <w:szCs w:val="22"/>
        </w:rPr>
      </w:pPr>
      <w:r w:rsidRPr="0007346C">
        <w:rPr>
          <w:b/>
          <w:i/>
          <w:sz w:val="22"/>
          <w:szCs w:val="22"/>
        </w:rPr>
        <w:t>Proposals:</w:t>
      </w:r>
      <w:r>
        <w:rPr>
          <w:b/>
          <w:i/>
          <w:sz w:val="22"/>
          <w:szCs w:val="22"/>
        </w:rPr>
        <w:t xml:space="preserve"> </w:t>
      </w:r>
    </w:p>
    <w:p w:rsidR="00706C19" w:rsidRPr="00E57705" w:rsidRDefault="00E57705" w:rsidP="00E57705">
      <w:pPr>
        <w:pStyle w:val="BodyText"/>
        <w:numPr>
          <w:ilvl w:val="0"/>
          <w:numId w:val="8"/>
        </w:numPr>
        <w:spacing w:after="240"/>
        <w:jc w:val="both"/>
        <w:rPr>
          <w:b/>
          <w:i/>
          <w:sz w:val="22"/>
          <w:szCs w:val="22"/>
        </w:rPr>
      </w:pPr>
      <w:r>
        <w:rPr>
          <w:b/>
          <w:i/>
          <w:sz w:val="22"/>
          <w:szCs w:val="22"/>
        </w:rPr>
        <w:t xml:space="preserve">Consider the format in </w:t>
      </w:r>
      <w:r>
        <w:rPr>
          <w:b/>
          <w:i/>
          <w:sz w:val="22"/>
          <w:szCs w:val="22"/>
        </w:rPr>
        <w:fldChar w:fldCharType="begin"/>
      </w:r>
      <w:r>
        <w:rPr>
          <w:b/>
          <w:i/>
          <w:sz w:val="22"/>
          <w:szCs w:val="22"/>
        </w:rPr>
        <w:instrText xml:space="preserve"> REF _Ref447208649 \h  \* MERGEFORMAT </w:instrText>
      </w:r>
      <w:r>
        <w:rPr>
          <w:b/>
          <w:i/>
          <w:sz w:val="22"/>
          <w:szCs w:val="22"/>
        </w:rPr>
      </w:r>
      <w:r>
        <w:rPr>
          <w:b/>
          <w:i/>
          <w:sz w:val="22"/>
          <w:szCs w:val="22"/>
        </w:rPr>
        <w:fldChar w:fldCharType="separate"/>
      </w:r>
      <w:r w:rsidRPr="00EC267E">
        <w:rPr>
          <w:b/>
          <w:i/>
          <w:sz w:val="22"/>
          <w:szCs w:val="22"/>
        </w:rPr>
        <w:t>Table 1</w:t>
      </w:r>
      <w:r>
        <w:rPr>
          <w:b/>
          <w:i/>
          <w:sz w:val="22"/>
          <w:szCs w:val="22"/>
        </w:rPr>
        <w:fldChar w:fldCharType="end"/>
      </w:r>
      <w:r>
        <w:rPr>
          <w:b/>
          <w:i/>
          <w:sz w:val="22"/>
          <w:szCs w:val="22"/>
        </w:rPr>
        <w:t xml:space="preserve"> for the DCI used to support centralized resource allocation for V2X over PC5.</w:t>
      </w:r>
    </w:p>
    <w:p w:rsidR="00706C19" w:rsidRPr="00DA1475" w:rsidRDefault="00706C19" w:rsidP="00706C19">
      <w:pPr>
        <w:pStyle w:val="Heading1"/>
      </w:pPr>
      <w:r w:rsidRPr="00DA1475">
        <w:lastRenderedPageBreak/>
        <w:t>Reference</w:t>
      </w:r>
    </w:p>
    <w:p w:rsidR="00706C19" w:rsidRPr="00420D28" w:rsidRDefault="00706C19" w:rsidP="00E57705">
      <w:pPr>
        <w:pStyle w:val="ListParagraph"/>
        <w:numPr>
          <w:ilvl w:val="0"/>
          <w:numId w:val="9"/>
        </w:numPr>
        <w:ind w:left="567" w:hanging="425"/>
        <w:rPr>
          <w:rFonts w:ascii="Times New Roman" w:hAnsi="Times New Roman" w:cs="Times New Roman"/>
        </w:rPr>
      </w:pPr>
      <w:bookmarkStart w:id="5" w:name="_Ref447202561"/>
      <w:r w:rsidRPr="00E40612">
        <w:rPr>
          <w:rFonts w:ascii="Times New Roman" w:hAnsi="Times New Roman" w:cs="Times New Roman"/>
          <w:color w:val="312E25"/>
          <w:lang w:eastAsia="sv-SE"/>
        </w:rPr>
        <w:t>R1-162827, Contents of PSCCH for V2V over PC5, Ericsson</w:t>
      </w:r>
      <w:bookmarkEnd w:id="5"/>
    </w:p>
    <w:p w:rsidR="00706C19" w:rsidRDefault="00706C19" w:rsidP="00E57705">
      <w:pPr>
        <w:pStyle w:val="ListParagraph"/>
        <w:numPr>
          <w:ilvl w:val="0"/>
          <w:numId w:val="9"/>
        </w:numPr>
        <w:ind w:left="567" w:hanging="425"/>
        <w:rPr>
          <w:rFonts w:ascii="Times New Roman" w:hAnsi="Times New Roman" w:cs="Times New Roman"/>
          <w:color w:val="312E25"/>
          <w:lang w:eastAsia="sv-SE"/>
        </w:rPr>
      </w:pPr>
      <w:bookmarkStart w:id="6" w:name="_Ref447199324"/>
      <w:bookmarkStart w:id="7" w:name="_Ref447205861"/>
      <w:r w:rsidRPr="00472FE6">
        <w:rPr>
          <w:rFonts w:ascii="Times New Roman" w:hAnsi="Times New Roman" w:cs="Times New Roman"/>
          <w:color w:val="312E25"/>
          <w:lang w:eastAsia="sv-SE"/>
        </w:rPr>
        <w:t>R1-162828, Contents of Downlink Control Information for V2V over PC5</w:t>
      </w:r>
      <w:bookmarkEnd w:id="6"/>
      <w:r>
        <w:rPr>
          <w:rFonts w:ascii="Times New Roman" w:hAnsi="Times New Roman" w:cs="Times New Roman"/>
          <w:color w:val="312E25"/>
          <w:lang w:eastAsia="sv-SE"/>
        </w:rPr>
        <w:t>, Ericsson</w:t>
      </w:r>
      <w:bookmarkEnd w:id="7"/>
    </w:p>
    <w:p w:rsidR="009C72F5" w:rsidRPr="00706C19" w:rsidRDefault="009C72F5" w:rsidP="00CC0771">
      <w:pPr>
        <w:rPr>
          <w:sz w:val="22"/>
          <w:szCs w:val="22"/>
          <w:u w:val="single"/>
          <w:lang w:val="en-US"/>
        </w:rPr>
      </w:pPr>
    </w:p>
    <w:p w:rsidR="00CC0771" w:rsidRPr="00CC0771" w:rsidRDefault="009C72F5" w:rsidP="009C72F5">
      <w:pPr>
        <w:pStyle w:val="Heading1"/>
        <w:numPr>
          <w:ilvl w:val="0"/>
          <w:numId w:val="0"/>
        </w:numPr>
        <w:rPr>
          <w:sz w:val="22"/>
          <w:szCs w:val="22"/>
          <w:u w:val="single"/>
        </w:rPr>
      </w:pPr>
      <w:r>
        <w:t xml:space="preserve">Appendix: DCI Format 5 for sidelink </w:t>
      </w:r>
      <w:r w:rsidR="00CC0771" w:rsidRPr="00CC0771">
        <w:rPr>
          <w:sz w:val="22"/>
          <w:szCs w:val="22"/>
          <w:u w:val="single"/>
        </w:rPr>
        <w:t>(From 3GPP TS 36.212)</w:t>
      </w:r>
    </w:p>
    <w:p w:rsidR="00CC0771" w:rsidRPr="00CC0771" w:rsidRDefault="00CC0771" w:rsidP="00CC0771">
      <w:pPr>
        <w:rPr>
          <w:i/>
          <w:sz w:val="22"/>
          <w:szCs w:val="22"/>
        </w:rPr>
      </w:pPr>
      <w:r w:rsidRPr="00CC0771">
        <w:rPr>
          <w:i/>
          <w:sz w:val="22"/>
          <w:szCs w:val="22"/>
        </w:rPr>
        <w:t xml:space="preserve">DCI format 5 is used for the scheduling of PSCCH, and also contains several SCI </w:t>
      </w:r>
      <w:proofErr w:type="gramStart"/>
      <w:r w:rsidRPr="00CC0771">
        <w:rPr>
          <w:i/>
          <w:sz w:val="22"/>
          <w:szCs w:val="22"/>
        </w:rPr>
        <w:t>format</w:t>
      </w:r>
      <w:proofErr w:type="gramEnd"/>
      <w:r w:rsidRPr="00CC0771">
        <w:rPr>
          <w:i/>
          <w:sz w:val="22"/>
          <w:szCs w:val="22"/>
        </w:rPr>
        <w:t xml:space="preserve"> 0 fields used for the scheduling of PSSCH.</w:t>
      </w:r>
    </w:p>
    <w:p w:rsidR="00CC0771" w:rsidRPr="00CC0771" w:rsidRDefault="00CC0771" w:rsidP="00CC0771">
      <w:pPr>
        <w:rPr>
          <w:i/>
          <w:sz w:val="22"/>
          <w:szCs w:val="22"/>
        </w:rPr>
      </w:pPr>
      <w:r w:rsidRPr="00CC0771">
        <w:rPr>
          <w:i/>
          <w:sz w:val="22"/>
          <w:szCs w:val="22"/>
        </w:rPr>
        <w:t>The following information is transmitted by means of the DCI format 5:</w:t>
      </w:r>
    </w:p>
    <w:p w:rsidR="00CC0771" w:rsidRPr="00CC0771" w:rsidRDefault="00CC0771" w:rsidP="00CC0771">
      <w:pPr>
        <w:pStyle w:val="B1"/>
        <w:rPr>
          <w:i/>
          <w:sz w:val="22"/>
          <w:szCs w:val="22"/>
        </w:rPr>
      </w:pPr>
      <w:r w:rsidRPr="00CC0771">
        <w:rPr>
          <w:i/>
          <w:sz w:val="22"/>
          <w:szCs w:val="22"/>
        </w:rPr>
        <w:t xml:space="preserve">- Resource for PSCCH – 6 bits </w:t>
      </w:r>
      <w:r w:rsidR="005B3BE1">
        <w:rPr>
          <w:i/>
          <w:sz w:val="22"/>
          <w:szCs w:val="22"/>
        </w:rPr>
        <w:t xml:space="preserve"> </w:t>
      </w:r>
    </w:p>
    <w:p w:rsidR="00CC0771" w:rsidRPr="00CC0771" w:rsidRDefault="00CC0771" w:rsidP="00CC0771">
      <w:pPr>
        <w:pStyle w:val="B1"/>
        <w:rPr>
          <w:i/>
          <w:sz w:val="22"/>
          <w:szCs w:val="22"/>
        </w:rPr>
      </w:pPr>
      <w:r w:rsidRPr="00CC0771">
        <w:rPr>
          <w:i/>
          <w:sz w:val="22"/>
          <w:szCs w:val="22"/>
        </w:rPr>
        <w:t xml:space="preserve">-TPC command for PSCCH and PSSCH – 1 bit </w:t>
      </w:r>
    </w:p>
    <w:p w:rsidR="00CC0771" w:rsidRPr="00CC0771" w:rsidRDefault="00CC0771" w:rsidP="00CC0771">
      <w:pPr>
        <w:pStyle w:val="B1"/>
        <w:rPr>
          <w:i/>
          <w:sz w:val="22"/>
          <w:szCs w:val="22"/>
        </w:rPr>
      </w:pPr>
      <w:r w:rsidRPr="00CC0771">
        <w:rPr>
          <w:i/>
          <w:sz w:val="22"/>
          <w:szCs w:val="22"/>
        </w:rPr>
        <w:t>- SCI format 0 fields:</w:t>
      </w:r>
    </w:p>
    <w:p w:rsidR="00CC0771" w:rsidRPr="00CC0771" w:rsidRDefault="00CC0771" w:rsidP="00CC0771">
      <w:pPr>
        <w:pStyle w:val="B2"/>
        <w:rPr>
          <w:i/>
          <w:sz w:val="22"/>
          <w:szCs w:val="22"/>
        </w:rPr>
      </w:pPr>
      <w:r w:rsidRPr="00CC0771">
        <w:rPr>
          <w:i/>
          <w:sz w:val="22"/>
          <w:szCs w:val="22"/>
        </w:rPr>
        <w:t>- Frequency hopping flag</w:t>
      </w:r>
      <w:r w:rsidR="00D01827">
        <w:rPr>
          <w:i/>
          <w:sz w:val="22"/>
          <w:szCs w:val="22"/>
        </w:rPr>
        <w:t xml:space="preserve"> (1 bit)</w:t>
      </w:r>
    </w:p>
    <w:p w:rsidR="00CC0771" w:rsidRPr="00CC0771" w:rsidRDefault="00CC0771" w:rsidP="00CC0771">
      <w:pPr>
        <w:pStyle w:val="B2"/>
        <w:rPr>
          <w:i/>
          <w:sz w:val="22"/>
          <w:szCs w:val="22"/>
        </w:rPr>
      </w:pPr>
      <w:r w:rsidRPr="00CC0771">
        <w:rPr>
          <w:i/>
          <w:sz w:val="22"/>
          <w:szCs w:val="22"/>
        </w:rPr>
        <w:t>- Resource block assignment and hopping resource allocation</w:t>
      </w:r>
      <w:r w:rsidR="00D01827">
        <w:rPr>
          <w:i/>
          <w:sz w:val="22"/>
          <w:szCs w:val="22"/>
        </w:rPr>
        <w:t xml:space="preserve"> (5-13 bits)</w:t>
      </w:r>
    </w:p>
    <w:p w:rsidR="00CC0771" w:rsidRPr="00CC0771" w:rsidRDefault="00CC0771" w:rsidP="00CC0771">
      <w:pPr>
        <w:pStyle w:val="B2"/>
        <w:rPr>
          <w:i/>
          <w:sz w:val="22"/>
          <w:szCs w:val="22"/>
        </w:rPr>
      </w:pPr>
      <w:r w:rsidRPr="00CC0771">
        <w:rPr>
          <w:i/>
          <w:sz w:val="22"/>
          <w:szCs w:val="22"/>
        </w:rPr>
        <w:t>- Time resource pattern</w:t>
      </w:r>
      <w:r w:rsidR="00D01827">
        <w:rPr>
          <w:i/>
          <w:sz w:val="22"/>
          <w:szCs w:val="22"/>
        </w:rPr>
        <w:t xml:space="preserve"> (7 bits)</w:t>
      </w:r>
    </w:p>
    <w:p w:rsidR="00CC0771" w:rsidRPr="00CC0771" w:rsidRDefault="00CC0771" w:rsidP="00D01827">
      <w:pPr>
        <w:jc w:val="both"/>
        <w:rPr>
          <w:sz w:val="22"/>
          <w:szCs w:val="22"/>
        </w:rPr>
      </w:pPr>
      <w:r w:rsidRPr="00CC0771">
        <w:rPr>
          <w:i/>
          <w:sz w:val="22"/>
          <w:szCs w:val="22"/>
        </w:rPr>
        <w:t>If the number of information bits in format 5 mapped onto a given search space is less than the payload size of format 0 for scheduling the same serving cell, zeros shall be appended to format 5 until the payload size equals that of format 0 including any padding bits appended to format 0.</w:t>
      </w:r>
    </w:p>
    <w:p w:rsidR="00706C19" w:rsidRDefault="00706C19" w:rsidP="00CC0771">
      <w:pPr>
        <w:rPr>
          <w:sz w:val="22"/>
          <w:szCs w:val="22"/>
        </w:rPr>
      </w:pPr>
    </w:p>
    <w:p w:rsidR="00420D28" w:rsidRPr="00420D28" w:rsidRDefault="00420D28" w:rsidP="00420D28">
      <w:pPr>
        <w:pStyle w:val="ListParagraph"/>
        <w:ind w:left="567"/>
        <w:rPr>
          <w:rFonts w:ascii="Times New Roman" w:hAnsi="Times New Roman" w:cs="Times New Roman"/>
          <w:lang w:val="en-GB"/>
        </w:rPr>
      </w:pPr>
    </w:p>
    <w:sectPr w:rsidR="00420D28" w:rsidRPr="00420D28" w:rsidSect="004B31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63D" w:rsidRDefault="00AB563D">
      <w:r>
        <w:separator/>
      </w:r>
    </w:p>
  </w:endnote>
  <w:endnote w:type="continuationSeparator" w:id="0">
    <w:p w:rsidR="00AB563D" w:rsidRDefault="00AB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63D" w:rsidRDefault="00AB563D">
      <w:r>
        <w:separator/>
      </w:r>
    </w:p>
  </w:footnote>
  <w:footnote w:type="continuationSeparator" w:id="0">
    <w:p w:rsidR="00AB563D" w:rsidRDefault="00AB5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440B1784"/>
    <w:multiLevelType w:val="hybridMultilevel"/>
    <w:tmpl w:val="AFE6B4B6"/>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1">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9"/>
  </w:num>
  <w:num w:numId="3">
    <w:abstractNumId w:val="8"/>
  </w:num>
  <w:num w:numId="4">
    <w:abstractNumId w:val="3"/>
  </w:num>
  <w:num w:numId="5">
    <w:abstractNumId w:val="4"/>
  </w:num>
  <w:num w:numId="6">
    <w:abstractNumId w:val="10"/>
  </w:num>
  <w:num w:numId="7">
    <w:abstractNumId w:val="1"/>
  </w:num>
  <w:num w:numId="8">
    <w:abstractNumId w:val="7"/>
  </w:num>
  <w:num w:numId="9">
    <w:abstractNumId w:val="2"/>
  </w:num>
  <w:num w:numId="10">
    <w:abstractNumId w:val="5"/>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8BA31-7882-4480-8D49-F6AF7AF11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2016-04-01T15:34:00Z</dcterms:modified>
</cp:coreProperties>
</file>